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385</w:t>
      </w:r>
    </w:p>
    <w:p>
      <w:r>
        <w:t>Bundesgericht (BGE), 1955-12-16, DE</w:t>
      </w:r>
    </w:p>
    <w:p>
      <w:r>
        <w:rPr>
          <w:b/>
        </w:rPr>
        <w:t xml:space="preserve">Quelle: </w:t>
      </w:r>
      <w:r>
        <w:t>https://mcp.opencaselaw.ch/entscheid/bge_BGE_81_I_385</w:t>
      </w:r>
    </w:p>
    <w:p>
      <w:r>
        <w:t>FR: ATF 81 I 385</w:t>
      </w:r>
    </w:p>
    <w:p>
      <w:r>
        <w:t>IT: DTF 81 I 385</w:t>
      </w:r>
    </w:p>
    <w:p>
      <w:pPr>
        <w:pStyle w:val="Heading2"/>
      </w:pPr>
      <w:r>
        <w:t>Regeste</w:t>
      </w:r>
    </w:p>
    <w:p>
      <w:r>
        <w:t>Regeste Kautionen im Auslieferungsrecht. 1. Unter Art. 98 OG fallen auch Entscheide der Bundesverwaltung über Kautionen zur Sicherstellung der Auslieferung von Beschuldigten an das Ausland. 2. Zulässigkeit des Vollzugs der Auslieferungshaft in einer Klinik gegen Leistung einer Kaution. Verfall der Kaution infolge Flucht des Häftlings.</w:t>
      </w:r>
    </w:p>
    <w:p>
      <w:r>
        <w:t>Regeste Cautionnements en matière d'extradition. 1. L'art. 98 OJ s'applique aussi à la décision de l'administration fédérale relative au cautionnement fourni pour garantir une extradition à l'étranger. 2. L'autorité a-t-elle le pouvoir de décider que, moyennant caution, la personne à extrader subira la détention préventive dans une clinique? Caution acquise à l'Etat par la fuite du prisonnier.</w:t>
      </w:r>
    </w:p>
    <w:p>
      <w:r>
        <w:t>Regesto Cauzioni in materia d'estradizione. 1. L'art. 98 OG si applica anche a una decisione dell'amministrazione federale relativa alla prestazione di cauzione per garantire l'estradizione a uno Stato straniero. 2. La persona colpita dall'estradizione può essere autorizzata a subire l'arresto preventivo in una clinica se presta cauzione. Perdita della cauzione a motivo della fuga dell'arrestato.</w:t>
      </w:r>
    </w:p>
    <w:p>
      <w:pPr>
        <w:pStyle w:val="Heading2"/>
      </w:pPr>
      <w:r>
        <w:t>Erwägungen</w:t>
      </w:r>
    </w:p>
    <w:p>
      <w:r>
        <w:rPr>
          <w:b/>
        </w:rPr>
        <w:t>E. 1</w:t>
      </w:r>
    </w:p>
    <w:p>
      <w:r>
        <w:t>Nach Art. 98 OG , auf den die Beschwerdeführer sich stützen, ist die Verwaltungsgerichtsbeschwerde zulässig BGE 81 I 385 S. 388 gegen Entscheide der Bundesverwaltung über Ansprüche auf Leistung oder Rückerstattung öffentlichrechtlicher Kautionen. Ist diese Bestimmung anwendbar und handelt es sich um einen Entscheid einer eidg. Amtsstelle in einer ihr zur selbständigen Erledigung übertragenen Sache ( Art. 102 lit. a OG ), so ist das Bundesgericht als Beschwerdeinstanz zuständig. Gegebenenfalls wäre die Streitigkeit vom Bundesgericht als einziger Instanz nach Art. 110 OG zu beurteilen, wenn der Weg der Verwaltungsgerichtsbeschwerde ausgeschlossen wäre ( Art. 113 lit. a OG ).</w:t>
      </w:r>
    </w:p>
    <w:p>
      <w:r>
        <w:rPr>
          <w:b/>
        </w:rPr>
        <w:t>E. 2</w:t>
      </w:r>
    </w:p>
    <w:p>
      <w:r>
        <w:t>Die Beschwerdeführer haben eine Pfändung erwirkt, deren Gegenstand nach der darüber aufgenommenen Urkunde ein beim eidg. Justiz- und Polizeidepartement hinterlegter Barbetrag wäre. Indessen ist ihnen nach Art. 131 Abs. 2 SchKG eine Forderung gegenüber der Eidgenossenschaft auf Rückzahlung dieses Betrages zur Eintreibung überwiesen worden, und nach der bezüglichen Bescheinigung des Betreibungsamtes ist Objekt der Pfändung diese Forderung. Unter diesen Umständen sind die Beschwerdeführer berechtigt, einen Entscheid der Bundesverwaltung, durch den der in Frage stehende Rückerstattungsanspruch bestritten wird, mit Verwaltungsgerichtsbeschwerde anzufechten ( Art. 103 OG ). Sie wären auch legitimiert, die ihnen überwiesene Forderung durch verwaltungsrechtliche Klage gegen den Bund nach Art. 110 OG geltend zu machen.</w:t>
      </w:r>
    </w:p>
    <w:p>
      <w:r>
        <w:rPr>
          <w:b/>
        </w:rPr>
        <w:t>E. 3</w:t>
      </w:r>
    </w:p>
    <w:p>
      <w:r>
        <w:t>Die streitige Kaution ist nach den Akten geleistet worden als Sicherheit zuhanden der Eidgenossenschaft dafür, dass Redjoff sich der Auslieferung nicht durch Flucht entziehe. Es steht auch fest, dass die Bestellung der Kaution durch die eidg. Polizeiabteilung genehmigt worden ist. Die Beschwerdeführer behaupten, die Sicherheitsleistung sei mangels gesetzlicher Grundlage ungültig, so dass der hinterlegte Betrag zurückzuerstatten sei. Prof. Schultz wendet in seinem Gutachten ferner ein, der Entscheid darüber, ob die Sicherheit infolge der Flucht Redjoffs verfallen sei, wäre nicht Sache der Bundesverwaltung, BGE 81 I 385 S. 389 sondern des Bundesgerichts gewesen, bei dem der Auslieferungsfall am Tage der Flucht hängig gewesen sei. Diese Frage stellt sich indessen nicht; denn es ist nicht bestritten und kann nicht bestritten werden, dass die Kaution, wenn sie gültig bestellt worden ist, infolge des Entweichens Redjoffs der Eidgenossenschaft verfallen ist und verfallen bleibt, sofern Redjoff sich nicht vor Ablauf der Verjährungsfrist stellt und so die Auslieferung doch noch ermöglicht. Der Streit dreht sich darum, ob die von der Polizeiabteilung genehmigte Kautionsstellung gültig sei. Diese Behörde und ihr folgend das vorgesetzte Departement haben anerkannt, dass diese Frage auch noch anlässlich der Beurteilung des von den Beschwerdeführern gestellten Rückerstattungsbegehren geprüft werden könne. Den Bescheid des Departements über dieses Begehren haben die Beschwerdeführer binnen der gesetzlichen Frist mit der Verwaltungsgerichtsbeschwerde gestützt auf Art. 98 OG angefochten. Das Bundesgericht hat daher zu prüfen, ob die Sicherheitsbestellung auf einem - nicht an den Bundesrat weiterziehbaren - Entscheid der Bundesverwaltung beruhe, ob dieser Entscheid die Leistung einer öffentlichrechtlichen Kaution im Sinne des Art. 98 OG betreffe und ob er mit dem Bundesrecht übereinstimme.</w:t>
      </w:r>
    </w:p>
    <w:p>
      <w:r>
        <w:rPr>
          <w:b/>
        </w:rPr>
        <w:t>E. 4</w:t>
      </w:r>
    </w:p>
    <w:p>
      <w:r>
        <w:t>Das Bundesgesetz betreffend die Auslieferung gegenüber dem Auslande (AG) enthält in Art. 16 ff. Bestimmungen über die Verhaftung und die Freilassung der Person, deren Auslieferung begehrt wird. Nach Art. 25 kann die provisorische Freilassung gestattet werden, wenn sie nach den Umständen geboten erscheint. Das Gesetz sieht nicht ausdrücklich vor, dass diese Massregel an Bedingungen geknüpft werden kann. Immerhin ist in Lehre und Praxis, auch des Bundesgerichts, allgemein anerkannt, dass sie von der Bestellung genügender Sicherheit abhängig gemacht werden darf (Botschafft des Bundesrates, BBl 1890 III 360; BGE 38 I 162 lit. E; SCHULTZ, Das schweiz. Auslieferungsrecht, S. 199 f.; BARDET, Das formelle Auslieferungsrecht der Schweiz, S. 43). BGE 81 I 385 S. 390 Der Auffassung des eidg. Justiz- und Polizeidepartements, die Verlegung Redjoffs in die Klinik sei praktisch auf eine provisorische Freilassung hinausgelaufen, kann indessen nicht gefolgt werden. Vielmehr wurde die Haft nach der Verlegung aufrecht erhalten, wenn auch in anderer Form, indem die Einschliessung im Gefängnis ersetzt wurde durch eine mit gewissen Sicherungsvorkehren verbundene Verwahrung in der Krankenanstalt. Der Vollzug der Auslieferungshaft ist Sache der kantonalen Behörden und richtet sich nach den Vorschriften der kantonalen Gesetzgebung, soweit nicht das Bundesgesetz besondere Vorschriften darüber aufstellt (Art. 18 Abs. 2 AG; nicht veröffentlichtes Urteil vom 14. September 1909 i.S. Ellensohn, Erw. 3, s. BURCKHARDT, Bundesrecht Nr. 1769 I, SCHULTZ, a.a.O. S. 197 N. 190). Dagegen sind die Voraussetzungen der Verhaftung und der Freilassung der Person, deren Auslieferung verlangt wird, ausschliesslich durch das Bundesrecht geregelt, und die Anordnung (oder Genehmigung) dieser Massnahmen ist den Bundesbehörden vorbehalten (Art. 15 ff., insbesondere Art. 16 Abs. 3, 4, Art. 17, 18 Abs. 1, 3, Art. 19, 20, 25, 26 Abs. 2, Art. 28 AG). Ebenfalls Sache des Bundesrechts und der Bundesbehörden ist die Ordnung der Fragen, ob die Einschliessung im Gefängnis durch eine Verwahrung an einem anderen Orte, insbesondere in einer Krankenanstalt, ersetzt werden kann, und welche Sicherungsmassnahmen in diesem Falle vorzukehren sind. Das Auslieferungsgesetz enthält freilich auch hierüber keine Bestimmung. Aber es verpflichtet die Bundesbehörden, dafür zu sorgen, dass die Person, die ausgeliefert werden muss oder mit deren Auslieferung jedenfalls ernsthaft zu rechnen ist, unter allen Umständen - abgesehen vom Fall der provisorischen Freilassung - verhaftet wird und es bis zum ordnungsgemässen Vollzug (oder bis zur Verweigerung) der Auslieferung auch bleibt, weil nur dann Gewähr dafür besteht, dass die Auslieferungspflicht erfüllt werden kann. Anderseits ist zu beachten, dass das Gesetz ungerechtfertigte BGE 81 I 385 S. 391 Beschränkungen der persönlichen Freiheit vermeiden will, wie die Bestimmungen über die (vorläufige oder endgültige) Entlassung aus der Haft zeigen (Art. 17 Abs. 2, Art. 19 Abs. 3, Art. 20 Abs. 2, Art. 25, 26 Abs. 2, Art. 28 AG). Wenn im einzelnen Fall die Einschliessung im Gefängnis sich, wegen des Gesundheitszustandes des Beschuldigten oder aus anderen triftigen Gründen, als undurchführbar erweist und die Voraussetzungen der provisorischen Freilassung fehlen, so müssen daher die Bundesbehörden Massnahmen anordnen können, die den Vollzug der unumgänglichen Haft auf andere geeignete Weise ermöglichen. Wäre es anders, so müsste in vielen Fällen die an sich mögliche Auslieferung daran scheitern, dass die Haft auf die gewöhnliche Art nicht vollstreckbar ist, was nicht der Sinn des Auslieferungsgesetzes, das den Vollzug der Auslieferung auch für solche Verhältnisse sicherstellen will, sein kann. In Betracht kommen Ersatzmassnahmen, wie sie im Strafprozessrecht mitunter durch ausdrückliche Gesetzesvorschrift vorgesehen sind (SANDMEYER, Die Untersuchungshaft im schweiz. Strafprozessrecht, S. 166 ff.) oder nach einer verbreiteten Lehrmeinung (LÖWE-ROSENBERG, Komm. der deutschen StPO, 19. Aufl., N. 1a zu § 112, N. 2 a zu § 118) auch beim Fehlen einer solchen Bestimmung als zulässig gelten (Belassung in der Wohnung oder Einweisung in eine Krankenanstalt unter entsprechenden Sicherheitsmassnahmen usw.). Da Redjoff mit Rücksicht auf seinen Gesundheitszustand in eine Klinik verlegt werden musste und dort nicht genügend beaufsichtigt werden konnte, lag es nahe, zur Sicherheit - wie es im Falle der provisorischen Freilassung des Auslieferungshäftlings nach feststehender Praxis zulässig und üblich ist - die Leistung einer Kaution zu fordern. Diese Massnahme war unter den gegebenen Umständen geeignet, die Fortdauer der Auslieferungshaft zu gewährleisten. Die Bundesbehörde durfte daher die Kaution verlangen und entgegennehmen; sie verstiess damit nicht gegen die gesetzliche Ordnung. BGE 81 I 385 S. 392</w:t>
      </w:r>
    </w:p>
    <w:p>
      <w:r>
        <w:rPr>
          <w:b/>
        </w:rPr>
        <w:t>E. 5</w:t>
      </w:r>
    </w:p>
    <w:p>
      <w:r>
        <w:t>Nach dem Auslieferungsgesetz ist zur Anordnung der Verhaftung der Bundesrat zuständig, ebenso zur Bewilligung der provisorischen Freilassung, solange der Fall nicht beim Bundesgericht hängig ist (Art. 25 Abs. 2). Die gleichen Behörden haben auch darüber zu befinden, ob die gewöhnliche Haft durch einen Zwangsaufenthalt in einer Krankenanstalt mit entsprechenden Sicherheitsmassnahmen zu ersetzen sei. Indessen hat der Bundesrat die ihm im Auslieferungsgesetz zugewiesenen Geschäfte an die Polizeiabteilung des eidg. Justiz- und Polizeidepartements zur selbständigen Erledigung delegiert, mit Ausnahme der grundsätzlichen Entscheide, die dem Departement vorbehalten worden sind (Art. 17 Abs. 1 Ziff. 1 in Verbindung mit Art. 12 Ziff. 7 des gestützt auf Art. 23 BG vom 26. März 1914 über die Organisation der Bundesverwaltung erlassenen BRB vom 17. November 1914, BS 1, 289). (Wenn das Bundesgericht zur Beurteilung der Streitigkeit zuständig ist, so war es offenbar nicht notwendig, zunächst Beschwerde beim Departement zu führen: Art. 23 Abs. 2 BG über die Organisation der Bundesverwaltung und Art. 102 lit. a OG ; immerhin schadet die Begrüssung des Departements den Beschwerdeführern nicht; vgl. Art. 86 Abs. 3 OG ). Daher ist der Beschluss der Polizeiabteilung, die Bestellung einer Kaution für Redjoff anzuordnen (oder zu genehmigen), ein Entscheid der zuständigen eidg. Verwaltungsbehörde. Dieser Entscheid betrifft die Leistung einer öffentlichrechtlichen Kaution im Sinne des Art. 98 OG . Dass unter diese Bestimmung auch Kautionen zur Sicherstellung der Auslieferung wie überhaupt der Strafverfolgung fallen, bestätigt Abs. 2 daselbst, der als Beispiele u.a. die Kautionen gemäss den gesetzlichen Bestimmungen über das Verfahren bei Übertretung fiskalischer Bundesgesetze nennt. Das Bundesgericht ist mithin befugt, im vorliegenden Beschwerdeverfahren zu prüfen, ob jener Entscheid der Polizeiabteilung gesetzmässig sei. Die Frage ist nach dem Ausgeführten zu bejahen. BGE 81 I 385 S. 393</w:t>
      </w:r>
    </w:p>
    <w:p>
      <w:r>
        <w:rPr>
          <w:b/>
        </w:rPr>
        <w:t>E. 6</w:t>
      </w:r>
    </w:p>
    <w:p>
      <w:r>
        <w:t>Selbst wenn anzunehmen wäre, das Auslieferungsgesetz verbiete, den Häftling im Falle der Überführung in eine Klinik zur Stellung einer Kaution zu zwingen, so wäre die Behörde doch berechtigt gewesen, das gewünschte Ergebnis durch Abschluss eines öffentlich-rechtlichen Vertrages zu erreichen. Tatsächlich hat sich ein zugunsten Redjoffs einspringender Dritter, wenn nicht Redjoff selbst, freiwillig anerboten, eine Kaution dafür zu leisten, dass dieser sich dem Vollzug der Haft in der Klinik nicht entziehe, und die Bundesverwaltung hat dieses Angebot angenommen, nachdem gewisse von ihr zunächst vorgesehene Massnahmen sich als undurchführbar erwiesen hatten. Die so zustande gekommene Vereinbarung wäre als zulässig anzusehen (vgl. BGE 78 II 27 Erw. 5). Sie stände im Einklang mit dem System der gesetzlichen Ordnung, die einerseits den Vollzug der Auslieferung gewährleisten, anderseits aber zu weit gehende Eingriffe in die persönliche Freiheit vermeiden will. Hätte man es mit einem öffentlich-rechtlichen Vertrag zu tun, so wäre die Bundesverwaltung, als Partei, nicht befugt gewesen, in einer Streitigkeit über dessen Ausführung einen eigentlichen Entscheid zu fällen. Dazu wäre einzig das Bundesgericht im direkten verwaltungsrechtlichen Prozess nach Art. 110 OG zuständig. Aber auch wenn es den Anstand unter diesem Gesichtspunkt zu beurteilen hätte, könnte seine Entscheidung nicht anders ausfallen. Der von den Beschwerdeführern geltend gemachte Anspruch auf Rückzahlung ist auf jeden Fall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