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35</w:t>
      </w:r>
    </w:p>
    <w:p>
      <w:r>
        <w:t>Bundesgericht (BGE), 1955-01-01, FR</w:t>
      </w:r>
    </w:p>
    <w:p>
      <w:r>
        <w:rPr>
          <w:b/>
        </w:rPr>
        <w:t xml:space="preserve">Quelle: </w:t>
      </w:r>
      <w:r>
        <w:t>https://mcp.opencaselaw.ch/entscheid/bge_BGE_81_I_35</w:t>
      </w:r>
    </w:p>
    <w:p>
      <w:r>
        <w:t>FR: ATF 81 I 35</w:t>
      </w:r>
    </w:p>
    <w:p>
      <w:r>
        <w:t>IT: DTF 81 I 35</w:t>
      </w:r>
    </w:p>
    <w:p>
      <w:pPr>
        <w:pStyle w:val="Heading2"/>
      </w:pPr>
      <w:r>
        <w:t>Regeste</w:t>
      </w:r>
    </w:p>
    <w:p>
      <w:r>
        <w:t>Regeste 1. Begriff des Kompetenzkonflikts im Sinne von Art. 83 lit. a OG (Erw. 1). 2. Gehören zu den "Flugplatzgebühren", die nach Art. 39 des eidg. Luftfahrtgesetzes der Genehmigung des eidg. Luftamtes unterliegen, auch die Gebühren, die der Flugplatzhalter auf der Abgabe von Flugtreibstoff und Flugmotorenöl (Ausschankgebühren) und für das Wägen der Luftfrachtsendungen (Waaggebühren) erhebt? (Erw. 2).</w:t>
      </w:r>
    </w:p>
    <w:p>
      <w:r>
        <w:t>Regeste 1. Notion du conflit de compétence au sens de l'art. 83 litt. a OJ (consid. 1). 2. Notion de la taxe d'aérodrome au sens de l'art. 39 LNA. Les taxes prélevées par l'exploitant d'un aéroport sur la distribution des carburants et lubrifiants nécessaires aux aéronefs (taxe de distribution) et sur le pesage du fret (taxe de pesage) sont-elles des taxes d'aérodrome soumises à l'approbation de l'Office fédéral de l'air? (consid. 2).</w:t>
      </w:r>
    </w:p>
    <w:p>
      <w:r>
        <w:t>Regesto 1. Nozione di conflitto di competenza a'sensi dell'art. 83 lett. a OG (consid. 1). 2. Nozione di tassa d'aerodromo a'sensi dell'art. 39 della legge sulla navigazione aerea. Sono le tasse riscosse dall'esercente di un aeroporto sulla distribuzione dei carburanti e lubrificanti necessari agli aeromobili (tassa di distribuzione) e sulla pesatura del carico (tassa di pesatura) tasse d'aerodromo sottoposte all'approvazione dell'Ufficio aeronautico federale? (consid. 2).</w:t>
      </w:r>
    </w:p>
    <w:p>
      <w:pPr>
        <w:pStyle w:val="Heading2"/>
      </w:pPr>
      <w:r>
        <w:t>Erwägungen</w:t>
      </w:r>
    </w:p>
    <w:p>
      <w:r>
        <w:rPr>
          <w:b/>
        </w:rPr>
        <w:t>E. 1</w:t>
      </w:r>
    </w:p>
    <w:p>
      <w:r>
        <w:t>Le conflit de compétence visé par l'art. 83 litt. a OJ est un désaccord entre la Confédération et un ou plusieurs cantons au sujet de l'étendue de leurs attributions. Il a pour objet la délimitation des souverainetés fédérale d'une part, cantonale d'autre part. Pareil conflit existe notamment lorsque la Confédération prétend détenir un pouvoir qui empiéterait sur la souveraineté d'un canton et que, pour cette raison précisément, le canton lui dénie (RO 78 I 24, 74 I 163, 49 I 283, 40 I 538). Tel est le cas en l'espèce. La Confédération affirme en effet que l'OFA est compétent pour approuver les taxes de distribution et de pesage que perçoit le canton de Genève. Celui-ci déclare au contraire qu'en sa qualité d'Etat souverain, il a le droit de régler comme il l'entend ses rapports avec des tiers et que les autorités fédérales ne peuvent d'aucune manière intervenir dans ce domaine. La réclamation de droit public est donc recevable.</w:t>
      </w:r>
    </w:p>
    <w:p>
      <w:r>
        <w:rPr>
          <w:b/>
        </w:rPr>
        <w:t>E. 2</w:t>
      </w:r>
    </w:p>
    <w:p>
      <w:r>
        <w:t>Aux termes de l'art. 39 LNA, "les taxes d'aérodrome sont soumises à l'approbation de l'Office fédéral de BGE 81 I 35 S. 40 l'air". C'est sur cette disposition que la Confédération prétend fonder le pouvoir de contrôler les taxes de distribution et de pesage. La solution du présent conflit de compétence dépend donc de la définition qu'il faut donner de la taxe d'aérodrome, et de la question de savoir si les redevances que perçoit le canton de Genève rentrent dans le cadre de cette définition. La LNA ne définit pas la taxe d'aérodrome. Les travaux préparatoires ne fournissent pas non plus d'indications précises à ce sujet. L'interprétation du texte légal lui-même permet simplement d'affirmer qu'en se servant du mot taxe (en allemand, Flugplatzgebühr), la loi vise une charge financière. En revanche, elle ne fait pas apparaître à qui et pour quelle raison cette charge financière est imposée. Selon la doctrine générale du droit aérien, la taxe d'aérodrome est une prestation financière imposée par l'exploitant de l'aérodrome aux navigateurs aériens et qui a sa source dans l'utilisation de la place d'aviation et de ses installations (RIESE, Luftrecht, 1949, p. 223/4, 232; LEMOINE, Traité de droit aérien, 1949, p. 138/9; KÖPFLI, Schweizerisches Flugplatzrecht, p. 188 ss). Cette définition s'applique sans conteste aux "taxes d'aérodrome" visées par l'art. 39 LNA. C'est ce que confirme d'ailleurs la concession octroyée par la Confédération au canton de Genève pour l'exploitation de l'aéroport de Cointrin. L'art. 11 de cette concession autorise en effet le prélèvement de taxes "pour l'utilisation de l'aéroport et de ses installations". Sans doute, la définition donnée ci-dessus est-elle très large et comprend-elle des prestations qui peuvent être de nature différente. Mais peu importe. En donnant à l'OFA le droit de contrôler les taxes d'aérodrome, c'est-à-dire les charges grevant la navigation aérienne, l'art. 39 LNA tend à empêcher que les exploitants d'aérodrome n'abusent de la situation de monopole, qui est créée en leur faveur par la concession, en exigeant des usagers des prestations de nature à paralyser la navigation aérienne ou du moins à entraver son essor. Or, de ce point de vue, il est indifférent BGE 81 I 35 S. 41 que les prélèvements opérés par les exploitants d'aérodrome le soient en vertu du droit public ou du droit privé. L'OFA peut exercer le droit de surveillance que lui confère l'art. 39 LNA aussi bien quand l'aérodrome est exploité par une corporation de droit public que lorsqu'il l'est par un particulier. Il est donc inutile de rechercher si, comme le prétend le canton de Genève, les taxes litigieuses sont des prestations contractuelles librement consenties et soumises exclusivement au droit privé. Il suffit d'examiner d'une part si elles frappent les navigateurs aériens, d'autre part si elles sont en rapport avec l'utilisation de l'aérodrome et de ses installations. Les taxes de pesage sont supportées par les transporteurs aériens auxquels elles sont facturées mensuellement. Les taxes de distribution sont prélevées auprès des compagnies pétrolières. Elles ne sont donc pas supportées directement par les usagers. Toutefois, les compagnies pétrolières en tiennent compte dans la fixation du prix des carburants et des lubrifiants qu'elles vendent aux navigateurs aériens- Il est vrai que, dans son mémoire de réplique, le canton de Genève a soutenu que l'incidence des taxes de distribution sur le prix de vente des carburants et lubrifiants n'était pas démontrée. Mais, ce faisant, il s'est mis en contradiction avec les déclarations qu'il a faites luimême dans sa réclamation où il a clairement admis que les prix des carburants et lubrifiants "comprennent le montant de la rémunération due à l'Etat". D'ailleurs le Conseil fédéral a produit une déclaration de la Swissair, société anonyme suisse pour la navigation aérienne, qui atteste que, jusqu'au 13 septembre 1954, les compagnies pétrolières lui ont toujours porté en compte la redevance de 2 fr. par 100 1. de carburants vendus. En conséquence, il y a lieu d'admettre que tant les taxes de pesage que les taxes de distribution sont en définitive supportées par la navigation aérienne et constituent pour elle une charge financière. D'autre part, on ne saurait sérieusement contester que BGE 81 I 35 S. 42 la taxe de distribution est en rapport avec l'utilisation de l'aérodrome. L'aérodrome de Genève-Cointrin est en effet un "aéroport" au sens de l'art. 45 du règlement d'exécution de la LNA, du 5 juin 1950 (RNA). Comme tel, il est destiné "au trafic aérien public" et doit être muni, à l'intention des usagers, "des installations ... pour le service et l'entretien des aéronefs". Lorsqu'il s'agit comme en l'espèce d'un aéroport intercontinental, sur lequel des aéronefs atterrissent après avoir effectué des parcours pouvant atteindre plusieurs milliers de kilomètres, ces "installations" comprennent celles qui sont nécessaires à l'approvisionnement en carburants et lubrifiants. Après des parcours aussi importants, les navigateurs aériens qui utilisent un aéroport doivent avoir la faculté de s'y ravitailler en essence et en huile. D'ailleurs le canton de Genève a l'obligation d'y veiller, ainsi que cela ressort de l'acte de concession (art. 2). Il est de plus tenu d'assurer l'utilisation de l'aéroport dans les meilleures conditions (art. 54 RNA, art. 4 de la concession), ce qui comprend la livraison des carburants et lubrifiants. Il faut donc admettre que les taxes de distribution sont en rapport avec l'utilisation de l'aéroport. Il en va de même des taxes de pesage. Sans doute, ces taxes sont-elles avant tout destinées à des fins douanières. Mais on ne saurait perdre de vue que l'aéroport de Genève-Cointrin est un "aérodrome douanier" au sens de l'art. 46 RNA, c'est-à-dire un "aérodrome que, d'entente avec l'Office fédéral de l'air, la Direction générale des douanes a désigné pour servir au trafic aérien franchissant la frontière du pays". L'utilisation d'un tel aérodrome comprend notamment l'accomplissement des formalités douanières au sujet des marchandises que transportent les navigateurs aériens, en particulier leur pesage. Ainsi, les taxes litigieuses sont des charges financières imposées par l'exploitant de l'aérodrome de Genève-Cointrin aux navigateurs aériens. Elles sont en rapport avec l'utilisation de l'aérodrome. Elles constituent donc des "taxes d'aérodrome" au sens de l'art. 39 LNA. Il BGE 81 I 35 S. 43 s'ensuit qu'elles doivent être soumises à l'approbation de l'Office fédéral de l'air et que le pouvoir que la Confédération prétend détenir à cet égard doit lui être reconnu.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