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337</w:t>
      </w:r>
    </w:p>
    <w:p>
      <w:r>
        <w:t>Bundesgericht (BGE), 1955-09-14, DE</w:t>
      </w:r>
    </w:p>
    <w:p>
      <w:r>
        <w:rPr>
          <w:b/>
        </w:rPr>
        <w:t xml:space="preserve">Quelle: </w:t>
      </w:r>
      <w:r>
        <w:t>https://mcp.opencaselaw.ch/entscheid/bge_BGE_81_I_337</w:t>
      </w:r>
    </w:p>
    <w:p>
      <w:r>
        <w:t>FR: ATF 81 I 337</w:t>
      </w:r>
    </w:p>
    <w:p>
      <w:r>
        <w:t>IT: DTF 81 I 337</w:t>
      </w:r>
    </w:p>
    <w:p>
      <w:pPr>
        <w:pStyle w:val="Heading2"/>
      </w:pPr>
      <w:r>
        <w:t>Regeste</w:t>
      </w:r>
    </w:p>
    <w:p>
      <w:r>
        <w:t>Regeste Gerichtsstand: 1. Gegenüber der Anwendung einer besonderen eidgenössischen Gerichtsstandsnorm (hier Art. 312 ZGB) kann Art. 59 BV nicht angerufen werden. 2. Die Rüge der Verletzung des Art. 312 ZGB ist mit der zivilrechtlichen Berufung oder Nichtigkeitsbeschwerde, nicht mit der staatsrechtlichen Beschwerde geltend zu machen.</w:t>
      </w:r>
    </w:p>
    <w:p>
      <w:r>
        <w:t>Regeste For: 1. L'art. 59 Cst. ne peut être invoqué à l'encontre de l'application d'une règle de for spéciale du droit fédéral (ici l'art. 312 CC). 2. La violation de l'art. 312 CC ouvre la voie du recours en réforme ou du recours en nullité, non celle du recours de droit public.</w:t>
      </w:r>
    </w:p>
    <w:p>
      <w:r>
        <w:t>Regesto Foro: 1. L'art. 59 CF non può essere invocato trattandosi dell'applicazione di una norma particolare di diritto federale relativa al foro (in concreto l'art. 312 CC). 2. Contro la violazione dell'art. 312 CC è ammissibile il ricorso per riforma o per nullità e non il ricorso di diritto pubblico.</w:t>
      </w:r>
    </w:p>
    <w:p>
      <w:pPr>
        <w:pStyle w:val="Heading2"/>
      </w:pPr>
      <w:r>
        <w:t>Erwägungen</w:t>
      </w:r>
    </w:p>
    <w:p>
      <w:r>
        <w:rPr>
          <w:b/>
        </w:rPr>
        <w:t>E. 1</w:t>
      </w:r>
    </w:p>
    <w:p>
      <w:r>
        <w:t>Es ist nicht bestritten, dass für die Bestimmung des Gerichtsstandes im vorliegenden Fall Art. 312 ZGB massgebend ist. Wenn aber diese Vorschrift anwendbar ist, so kann Art. 59 BV nicht angerufen werden. Diese Verfassungsbestimmung begründet nicht einen eidgenössischen Gerichtsstand des Wohnsitzes, sondern setzt der Gerichtshoheit der Kantone und fremder Staaten Grenzen, BGE 81 I 337 S. 339 indem sie den in der Schweiz wohnhaften Personen unter bestimmten Voraussetzungen das Recht gibt, sich dagegen zur Wehr zu setzen, dass sie vor anderen Gerichten als denjenigen des Kantons ihres Wohnsitzes belangt werden. Sie fällt daher nicht in Betracht, wo die örtliche Zuständigkeit eines kantonalen Gerichts aus einer eidgenössischen Gerichtsstandsnorm, wie sie Art. 312 ZGB enthält, abgeleitet wird; denn in solchen Fällen wird die Zuständigkeit nicht auf die Gerichtshoheit eines Kantons gestützt, sondern auf ein Stück Gerichtshoheit, das ausnahmsweise vom Bund in Anspruch genommen und den Kantonen entzogen worden ist. Die vom Beschwerdeführer erhobene Rüge der Verletzung des Art. 59 BV ist deshalb unbegründet ( BGE 72 I 176 , Erw. 2 und 3). Daran ändert es nichts, dass der eine der beiden in Art. 312 ZGB wahlweise zur Verfügung gestellten Gerichtsstände, derjenige am Wohnsitz des Beklagten zur Zeit der Klage, von der Norm des Art. 59 BV nicht abweicht. Wenn anzunehmen wäre, der Beschwerdeführer wolle auch eine Verletzung des Art. 312 ZGB geltend machen, so wäre auf diese Einwendung nicht einzutreten. Man hätte es mit der Rüge der Verletzung einer bundesrechtlichen Vorschrift über die örtliche Zuständigkeit in einer Zivilrechtsstreitigkeit zu tun. Hiefür hätte die Berufung oder, wenn der Streitwert weniger als Fr. 4'000.-- beträgt, die zivilrechtliche Nichtigkeitsbeschwerde zur Verfügung gestanden ( Art. 49, 68 Abs. 1 lit. b OG ). Insoweit ist die staatsrechtliche Beschwerde, als subsidiäres Rechtsmittel, ausgeschlossen ( Art. 84 Abs. 2 OG ). Freilich wird in Art. 49 und 68 Abs. 1 lit. b OG die staatsrechtliche Beschwerde wegen Verletzung des Art. 59 BV vorbehalten. Daraus folgt indessen nicht, dass ein Verstoss gegen eine eigentliche bundesrechtliche Gerichtsstandsnorm in einem Fall, wie er hier vorliegt, auch mit staatsrechtlicher Beschwerde wegen Verletzung jener Verfassungsbestimmung geltend gemacht werden kann. Art. 43 Abs. 1 OG rechnet zu den Verletzungen von Bundesrecht, BGE 81 I 337 S. 340 die mit der Berufung einzig gerügt werden können, nicht auch die Verletzung verfassungsmässiger (in der BV garantierter) Rechte der Bürger und behält daher deren Geltendmachung allgemein der staatsrechtlichen Beschwerde vor (Botschaft vom 9. Februar 1943 zum neuen OG, BBl 1943 I S. 118). Art. 49 OG wiederholt diesen Grundsatz für einen besonderen Anwendungsfall. Entsprechend ist Art. 68 Abs. 1 lit b zu verstehen.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