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332</w:t>
      </w:r>
    </w:p>
    <w:p>
      <w:r>
        <w:t>Bundesgericht (BGE), 1955-12-14, DE</w:t>
      </w:r>
    </w:p>
    <w:p>
      <w:r>
        <w:rPr>
          <w:b/>
        </w:rPr>
        <w:t xml:space="preserve">Quelle: </w:t>
      </w:r>
      <w:r>
        <w:t>https://mcp.opencaselaw.ch/entscheid/bge_BGE_81_I_332</w:t>
      </w:r>
    </w:p>
    <w:p>
      <w:r>
        <w:t>FR: ATF 81 I 332</w:t>
      </w:r>
    </w:p>
    <w:p>
      <w:r>
        <w:t>IT: DTF 81 I 332</w:t>
      </w:r>
    </w:p>
    <w:p>
      <w:pPr>
        <w:pStyle w:val="Heading2"/>
      </w:pPr>
      <w:r>
        <w:t>Regeste</w:t>
      </w:r>
    </w:p>
    <w:p>
      <w:r>
        <w:t>Regeste Willkürliche Annahme eines realisierten Kapitalgewinns. Die Annahme, durch die Umwandlung der ideellen Gesamteigentumsquoten der Erben an einer Liegenschaft in Alleineigentum an entsprechenden Parzellen bei der Erbteilung werde ein Kapitalgewinn realisiert, wenn die Liegenschaft seit dem Erbanfall im Werte gestiegen sei, ist willkürlich.</w:t>
      </w:r>
    </w:p>
    <w:p>
      <w:r>
        <w:t>Regeste Constatation arbitraire de la réalisation d'un bénéfice en capital. Il est arbitraire d'admettre qu'il y a réalisation d'un bénéfice en capital lorsque la valeur d'un fonds en hoirie a augmenté depuis l'ouverture de la succession et que le partage a lieu, après morcellement du fonds, la propriété de parcelles correspondant aux droits héréditaires se substituant aux parts intellectuelles des héritiers.</w:t>
      </w:r>
    </w:p>
    <w:p>
      <w:r>
        <w:t>Regesto Ammissione arbitraria del conseguimento di un utile in capitale. È arbitrario ammettere che la sostituzione, al momento delle divisioni, della proprietà esclusiva su singole particelle alle quote ideali di comproprietà su un fondo indiviso appartenente alla successione abbia per effetto il conseguimento di un utile in capitale, quando il valore del fondo stesso è aumentato dopo l'apertura della successione.</w:t>
      </w:r>
    </w:p>
    <w:p>
      <w:pPr>
        <w:pStyle w:val="Heading2"/>
      </w:pPr>
      <w:r>
        <w:t>Erwägungen</w:t>
      </w:r>
    </w:p>
    <w:p>
      <w:r>
        <w:rPr>
          <w:b/>
        </w:rPr>
        <w:t>E. 1</w:t>
      </w:r>
    </w:p>
    <w:p>
      <w:r>
        <w:t>Die KRK erachtet die Voraussetzungen eines Einkommens im Sinne von § 15 Abs. 1 StG als erfüllt, indem sie annimmt, die Erben hätten durch Umwandlung der ideellen Gesamteigentumsanteile an der ganzen Liegenschaft in Alleineigentum an einzelnen Parzellen einen Kapitalgewinn realisiert. Unbestritten ist, dass in der Zeit vom Erbanfall bis zur Erbteilung der Wert der Liegenschaft um Fr. 209'816.-- gestiegen ist. Der Wertzuwachs auf einem Vermögensobjekt wird aber erst realisiert, wenn dieses veräussert und der sich damit als endgültig erweisende Mehrwert als Gewinn liquidiert wird ( BGE 78 I 421 , BGE 79 I 12 ), wenn sich eine Umwandlung der Wertform, beispielsweise in einen Veräusserungspreis, vollzieht, wenn die Wertvermehrung irgendwie äusserlich in Erscheinung tritt (Urteile der staatsrechtlichen Kammer vom 14. September 1949 i.S. Brand, vom 4. Oktober 1950 i.S. Spahn und vom 28. Januar 1953 i.S. Oeri; auch die Urteile vom 27. Mai 1953 i.S. Ritter und vom 10. März 1954 i.S. Salathé gehen von diesen Voraussetzungen aus). Im vorliegenden Falle hat sich eine Umwandlung der neun ideellen Gesamteigentumsquoten an der ganzen Liegenschaft in Alleineigentum an je einem Neuntel derselben vollzogen. Das bedeutet aber keine Umwandlung der Wertform, sondern lediglich der rechtlichen Form der Eigentumsanteile der Erben, ohne dass die Wertvermehrung irgendwie äusserlich in Erscheinung getreten wäre. Es hatte also nach wie vor bei einem bloss latenten Wertzuwachs sein Bewenden. Ein solcher erfüllt aber niemals die Voraussetzungen eines realisierten Kapitalgewinns im Sinne von § 15 Abs. 1 StG . Seine Besteuerung erscheint daher als willkürlich, weshalb die Beschwerde gutzuheissen ist. BGE 81 I 332 S. 337</w:t>
      </w:r>
    </w:p>
    <w:p>
      <w:r>
        <w:rPr>
          <w:b/>
        </w:rPr>
        <w:t>E. 2</w:t>
      </w:r>
    </w:p>
    <w:p>
      <w:r>
        <w:t>Unter diesen Umständen kann die Frage offen bleiben, ob die Beschwerde auch auf Grund von § 17 StG und § 18 Abs. 2 VV gutzuheissen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