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307</w:t>
      </w:r>
    </w:p>
    <w:p>
      <w:r>
        <w:t>Bundesgericht (BGE), 1955-09-23, FR</w:t>
      </w:r>
    </w:p>
    <w:p>
      <w:r>
        <w:rPr>
          <w:b/>
        </w:rPr>
        <w:t xml:space="preserve">Quelle: </w:t>
      </w:r>
      <w:r>
        <w:t>https://mcp.opencaselaw.ch/entscheid/bge_BGE_81_I_307</w:t>
      </w:r>
    </w:p>
    <w:p>
      <w:r>
        <w:t>FR: ATF 81 I 307</w:t>
      </w:r>
    </w:p>
    <w:p>
      <w:r>
        <w:t>IT: DTF 81 I 307</w:t>
      </w:r>
    </w:p>
    <w:p>
      <w:pPr>
        <w:pStyle w:val="Heading2"/>
      </w:pPr>
      <w:r>
        <w:t>Regeste</w:t>
      </w:r>
    </w:p>
    <w:p>
      <w:r>
        <w:t>Regeste Art. 4, Abs. 1, lit. a UB. Ein Unternehmer, der seinen Betrieb einem Dritten abgetreten hat, kann sein Gesuch um eine neue Betriebsbewilligung nicht auf Art. 4, Abs. 1 lit. a UB stützen. Art. 4, Abs. 2, bleibt anwendbar. Voraussetzungen dafür.</w:t>
      </w:r>
    </w:p>
    <w:p>
      <w:r>
        <w:t>Regeste Art. 4 al. 1 litt. a et al. 2 AIH. Celui qui, ayant été titulaire d'une entreprise, l'a cédée à un tiers et demande l'autorisation d'en ouvrir une nouvelle, ne peut invoquer la litt. a de l'art. 4 al. 1. L'art. 4 al. 2 lui demeure applicable. Conditions d'application de cette disposition.</w:t>
      </w:r>
    </w:p>
    <w:p>
      <w:r>
        <w:t>Regesto Art. 4, cp. 1, lett. a e cp. 2 DISO. Colui che, titolare d'un'azienda, l'ha ceduta a un terzo e chiede l'autorizzazione di aprirne una nuova, non può invocare la lett. a dell'art. 4 cp. 1 DISO. Rimane applicabile l'art. 4 cp. 2. Condizioni cui è subordinata l'applicabilità di questo disposto.</w:t>
      </w:r>
    </w:p>
    <w:p>
      <w:pPr>
        <w:pStyle w:val="Heading2"/>
      </w:pPr>
      <w:r>
        <w:t>Erwägungen</w:t>
      </w:r>
    </w:p>
    <w:p>
      <w:r>
        <w:rPr>
          <w:b/>
        </w:rPr>
        <w:t>E. 1</w:t>
      </w:r>
    </w:p>
    <w:p>
      <w:r>
        <w:t>Dans son arrêt Nicolet, du 13 juillet 1954 (RO 80 I 397), le Tribunal fédéral a jugé que celui qui, ayant été titulaire d'une entreprise, l'a cédée à un tiers avec l'actif et le passif ne peut se fonder sur l'art. 4 al. 1 litt. a AIH en invoquant son expérience et ses connaissances pour demander l'autorisation d'ouvrir une nouvelle exploitation horlogère. En effet, d'importants intérêts de l'industrie horlogère dans son ensemble ou d'une de ses branches dans son ensemble, au sens du préambule de l'art. 4 AIH, seraient lésés par l'octroi d'un permis dans de telles conditions. Comme, en vertu de l'art. 3 al. 1 in fine AIH, la cession d'une entreprise avec l'actif et le passif est possible sans permis, même à une personne qui ne présente aucune garantie, le cédant pourrait, le transfert étant opéré, faire usage du droit à l'autorisation que lui confère l'art. 4 al. 1 litt. a AIH et ouvrir une nouvelle entreprise, puis la revendre à nouveau librement et ainsi de suite. L'appareil de production dans la branche visée serait ainsi augmenté sans que l'administration puisse exercer aucun contrôle. De plus, un nombre croissant de personnes ne remplissant pas les conditions de l'art. 4 al. 1 litt. a AIH pourraient s'établir dans l'horlogerie en éludant les exigences de cette disposition. Enfin, de telles cessions suivies de nouvelles ouvertures n'auraient lieu qu'au bénéfice des spéculateurs dont elles favoriseraient l'activité. BGE 81 I 307 S. 311 Le Tribunal fédéral a cependant réservé, dans l'arrêt précité, les exceptions qui pourraient être faites à ce principe par application de l'art. 4 al. 2 AIH. En effet, cette disposition légale permet d'accorder l'autorisation dans d'autres cas encore que ceux qui sont fixés par l'al. 1. Le requérant peut ainsi obtenir le permis sollicité même s'il ne satisfait pas intégralement aux conditions de l'art. 4 al. 1 litt. a, si des circonstances spéciales le justifient.</w:t>
      </w:r>
    </w:p>
    <w:p>
      <w:r>
        <w:rPr>
          <w:b/>
        </w:rPr>
        <w:t>E. 2</w:t>
      </w:r>
    </w:p>
    <w:p>
      <w:r>
        <w:t>En l'espèce, Mathez a exploité à son compte un atelier de terminage jusqu'en 1946 et l'a cédé en 1947 à un tiers avec l'actifet le passif. Il ne peut dès lors invoquer l'art. 4 al. 1 litt. a AIH pour prétendre à l'octroi de l'autorisation d'ouvrir une nouvelle entreprise, bien qu'il réponde aux exigences de capacité prévues par cette disposition. En raison des circonstances spéciales de son cas, il se justifie en revanche de faire application de l'art. 4 al. 2 AIH. Il ressort tout d'abord de la procédure qu'en cédant son atelier de terminage à Blaser, non seulement le recourant n'avait pas dans l'idée d'ouvrir plus tard une nouvelle entreprise - ce qui serait insuffisant - mais qu'il n'a nullement agi dans un dessein de spéculation. En effet, Mathez a fermé son entreprise en février 1946 déjà, parce qu'elle ne marchait pas, et a été engagé par la maison Froidevaux SA comme chef de fabrication. Ce n'est que plus d'une année après, en mars 1947, qu'il a cédé son exploitation à Blaser pour lui rendre service. Ce dernier s'était établi comme termineur indépendant sans avoir obtenu l'autorisation nécessaire et se trouvait de ce fait en difficulté avec le Département fédéral de l'économie publique. Les dispositions alors en vigueur ne s'y opposant pas, cette autorité a admis que la situation de Blaser fût régularisée par le transfert du permis dont le recourant était titulaire. L'engagement pris par Mathez envers le cessionnaire de ne rouvrir ni à Neuchâtel ni ailleurs un atelier de terminage en son nom personnel indique clairement qu'il ne songeait en aucune manière à s'installer plus tard à nouveau comme termineur et que c'est sans BGE 81 I 307 S. 312 intention quelconque de spéculation qu'il a remis son exploitation. Cette clause de prohibition de concurrence ne saurait en revanche constituer un empêchement à l'octroi du permis sollicité présentement par le recourant, car elle ne déploie que des effets de droit privé entre les parties contractantes et n'a pas à être prise en considération par les autorités appelées à appliquer les dispositions de l'AIH. D'autre part, il n'est pas établi que Mathez ait reçu une somme appréciable pour la cession de son exploitation. Non seulement, la convention conclue entre Blaser et le recourant ne mentionne aucun prix, mais l'entreprise étant fermée depuis plus d'une année en raison de sa situation économique défavorable, sa remise ne pouvait guère procurer de profit au cédant. Si elle ne doit pas être prise à la lettre, l'affirmation de Mathez au cours de l'instruction qu'il n'a "rien touché de Blaser" n'est pas contredite par les circonstances dans lesquelles s'est effectué le transfert mais correspond à celles-ci. Il y a lieu de tenir compte également du fait que plus de huit ans se sont écoulés depuis la cession de son atelier à Blaser et que c'est à la suite d'un changement de circonstances, particulièrement la perte de sa place de chef de fabrication, que le recourant s'est vu amené à demander l'autorisation de s'établir comme termineur indépendant. Enfin, dans son recours, Mathez affirme qu'il ne vendra ni ne cédera le permis qu'il sollicite et, lors de son interrogatoire dans l'instruction, il a déclaré que ses deux fils et sa fille étaient élevés, qu'ils ne travailleraient pas avec lui et que, s'il obtenait l'autorisation demandée, il renoncerait volontiers à céder son entreprise. Les circonstances spéciales de l'espèce justifiant l'application de l'art. 4 al. 2 AIH, il y a lieu de reconnaître au recourant le droit d'ouvrir l'entreprise de terminage qu'il se propose d'exploiter avec cinq ouvriers. Pour sanctionner l'engagement de Mathez de ne vendre ni céder son exploitation, l'autorisation doit être déclarée absolument personnelle BGE 81 I 307 S. 313 et incessible, et c'est dans ces limites que, selon sa pratique, il incombera au Département fédéral de l'économie publique de délivrer le permis demandé.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