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287</w:t>
      </w:r>
    </w:p>
    <w:p>
      <w:r>
        <w:t>Bundesgericht (BGE), 1955-10-21, FR</w:t>
      </w:r>
    </w:p>
    <w:p>
      <w:r>
        <w:rPr>
          <w:b/>
        </w:rPr>
        <w:t xml:space="preserve">Quelle: </w:t>
      </w:r>
      <w:r>
        <w:t>https://mcp.opencaselaw.ch/entscheid/bge_BGE_81_I_287</w:t>
      </w:r>
    </w:p>
    <w:p>
      <w:r>
        <w:t>FR: ATF 81 I 287</w:t>
      </w:r>
    </w:p>
    <w:p>
      <w:r>
        <w:t>IT: DTF 81 I 287</w:t>
      </w:r>
    </w:p>
    <w:p>
      <w:pPr>
        <w:pStyle w:val="Heading2"/>
      </w:pPr>
      <w:r>
        <w:t>Regeste</w:t>
      </w:r>
    </w:p>
    <w:p>
      <w:r>
        <w:t>Regeste Art. 42 WStB. Begriff des Berufswechsels (Erw. 1). - Liegt ein Berufswechsel vor, wenn der Direktor eines in Form einer Aktiengesellschaft betriebenen Unternehmens unbeschränkt haftender Teilhaber der Kommanditgesellschaft wird, die das Unternehmen übernommen hat (Erw. 2). - Kausalzusammenhang zwischen diesem Berufswechsel und der Steigerung des Einkommens (Erw. 3).</w:t>
      </w:r>
    </w:p>
    <w:p>
      <w:r>
        <w:t>Regeste Art. 42 AIN. Notion du changement de profession (consid. 1). - Il y a changement de profession lorsque le directeur d'une entreprise constituée sous forme de société anonyme devient associé indéfiniment responsable de la société en commandite qui a repris la même entreprise (consid. 2). - Lien de causalité entre ce changement de profession et l'augmentation du revenu (consid. 3).</w:t>
      </w:r>
    </w:p>
    <w:p>
      <w:r>
        <w:t>Regesto Art. 42 DIN. Nozione del mutamento di professione (consid. 1). - Si è in presenza di un mutamento di professione quando il direttore di un'impresa commerciale costituita sotto forma di società anonima diventa socio illimitatamente responsabile della società in accomandita che ha ripreso l'impresa (consid. 2). - Nesso causale tra questo cambiamento di professione e l'aumento del reddito (consid. 3).</w:t>
      </w:r>
    </w:p>
    <w:p>
      <w:pPr>
        <w:pStyle w:val="Heading2"/>
      </w:pPr>
      <w:r>
        <w:t>Erwägungen</w:t>
      </w:r>
    </w:p>
    <w:p>
      <w:r>
        <w:rPr>
          <w:b/>
        </w:rPr>
        <w:t>E. 1</w:t>
      </w:r>
    </w:p>
    <w:p>
      <w:r>
        <w:t>L'art. 42 AIN prescrit que le revenu imposable se calcule selon la règle spéciale de l'art. 41 al. 4 AIN, dans la mesure où il a subi une modification durable au cours de la période de calcul par suite de certaines circonstances, en particulier d'un changement de profession. Dans son arrêt Chabot du 18 septembre 1953 (RO 79 I 357), le Tribunal fédéral a dit qu'il y a un tel changement lorsque le genre ou le mode d'activité qu'exerce le contribuable s'est profondément modifié, soit que le contribuable ait embrassé un autre état, soit qu'à l'intérieur d'un même état sa condition ait fondamentalement changé. Tel sera en général le cas, selon le même arrêt, lorsque, sans avoir pris BGE 81 I 287 S. 291 un autre état, un contribuable passe d'une position dépendante à une position indépendante. Le présent recours ne contient rien qui puisse ébranler les arguments sur lesquels le Tribunal fédéral a fondé ces principes de jurisprudence. Aussi bien R. s'en prend-il plutôt à l'application qui a été faite de ces principes dans la présente espèce.</w:t>
      </w:r>
    </w:p>
    <w:p>
      <w:r>
        <w:rPr>
          <w:b/>
        </w:rPr>
        <w:t>E. 2</w:t>
      </w:r>
    </w:p>
    <w:p>
      <w:r>
        <w:t>Il conteste tout d'abord que l'on puisse voir un changement de profession au sens de l'art. 42 AIN dans le fait qu'après avoir été directeur d'une entreprise constituée sous forme de société anonyme, il est devenu associé indéfiniment responsable de la société en commandite qui a repris la même entreprise. Car, dit-il, selon l'art. 717 CO, le directeur, de même que le gérant, est un organe de la société anonyme; il est donc resté, dans la société en commandite, ce qu'il était déjà dans la société anonyme, à savoir un organe. Au moment où la société anonyme a été dissoute, R., qui avait été membre du conseil d'administration, en était sorti et n'était plus que directeur. Du point de vue de la société, le directeur est un tiers; il peut ne participer en aucune manière à l'entreprise (art. 717 al. 2 CO); c'est un simple employé (cf. art. 727 al. 2 CO), même s'il est en outre actionnaire. Comme directeur, il ne participe pas aux pertes de la société. Même s'il est aussi actionnaire, il n'en répond du reste pas personnellement, mais seulement par l'intermédiaire et dans la mesure de sa souscription. Il n'agit pas comme un entrepreneur et ce n'est pas en cette qualité qu'il touche les rémunérations auxquelles il a droit. Il est donc dans une condition dépendante; peu importe, de ce point de vue, qu'il soit ou non un organe de la société. Au contraire, l'associé indéfiniment responsable d'une société en commandite apparaît comme une personne de condition indépendante, car la société ne se distingue pas de la personne des associés eux-mêmes (RO 72 II 181 s.), lesquels ne peuvent en être les employés. En principe, ils BGE 81 I 287 S. 292 n'ont pas droit à une rémunération pour le travail qu'ils fournissent à la société (art. 598, 557 et 537 al. 3 CO); s'ils en touchent une de par une convention spéciale, c'est en tant qu'associés et comme participation aux bénéfices (arrêt précité). Sous certaines conditions, ils répondent personnellement des dettes sociales (art. 604 ss. CO). La différence de nature entre la société anonyme et la société en commandite, qui fait que l'actionnaire peut être en même temps l'employé de la société, tandis que l'associé indéfiniment responsable ne peut l'être, se marque du reste dans le système de l'impôt pour la défense nationale. On y distingue entre l'actionnaire de la société anonyme, d'une part, et la société, d'autre part, qui sont l'un et l'autre des contribuables, tandis que la société en commandite ne se distingue pas de ses participants, seuls ceux-ci étant soumis à l'impôt.</w:t>
      </w:r>
    </w:p>
    <w:p>
      <w:r>
        <w:rPr>
          <w:b/>
        </w:rPr>
        <w:t>E. 3</w:t>
      </w:r>
    </w:p>
    <w:p>
      <w:r>
        <w:t>Subsidiairement, R. conteste que la modification de son revenu, survenue au cours de la période de calcul, soit une conséquence du changement de profession. Si ce rapport de causalité faisait effectivement défaut, l'art. 42 AIN ne serait pas applicable. Tel n'est cependant pas le cas. Il est possible que, jusqu'en 1950, l'entreprise ait subi des pertes qui ont absorbé tout le bénéfice de 1951 et qu'elle n'ait produit de bénéfices disponibles qu'à partir de 1952, année où fut créée la société en commandite. On ne saurait néanmoins admettre que si la forme juridique de l'entreprise ni les tâches du recourant n'avaient changé, c'est-à-dire s'il n'y avait pas eu changement de profession au sens de l'art. 42 AIN, une augmentation du traitement de 26 276 fr. (1951) jusqu'à concurrence de 76 674 fr. (1952) aurait pu entrer en ligne de compte. Cette augmentation des sommes touchées par R. ne peut s'expliquer que par son passage du poste de directeur, qui lui donnait droit au seul traitement avec les gratifications, à la qualité d'associé avec la participation aux bénéfices qu'elle comporte. La modification du revenu est donc bien une conséquence BGE 81 I 287 S. 293 du changement de profession constaté. Le recourant ne conteste pas lui-même que cette modification soit durable. Ainsi, les conditions de l'art. 42 AIN sont remplies.</w:t>
      </w:r>
    </w:p>
    <w:p>
      <w:r>
        <w:rPr>
          <w:b/>
        </w:rPr>
        <w:t>E. 4</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