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236</w:t>
      </w:r>
    </w:p>
    <w:p>
      <w:r>
        <w:t>Bundesgericht (BGE), 1955-07-15, DE</w:t>
      </w:r>
    </w:p>
    <w:p>
      <w:r>
        <w:rPr>
          <w:b/>
        </w:rPr>
        <w:t xml:space="preserve">Quelle: </w:t>
      </w:r>
      <w:r>
        <w:t>https://mcp.opencaselaw.ch/entscheid/bge_BGE_81_I_236</w:t>
      </w:r>
    </w:p>
    <w:p>
      <w:r>
        <w:t>FR: ATF 81 I 236</w:t>
      </w:r>
    </w:p>
    <w:p>
      <w:r>
        <w:t>IT: DTF 81 I 236</w:t>
      </w:r>
    </w:p>
    <w:p>
      <w:pPr>
        <w:pStyle w:val="Heading2"/>
      </w:pPr>
      <w:r>
        <w:t>Regeste</w:t>
      </w:r>
    </w:p>
    <w:p>
      <w:r>
        <w:t>Regeste Wehrsteuer: Berechnung des steuerbaren Einkommens in Fällen, in denen mit einer Nutzniessung belastetes Vermögen im Laufe der Berechnungsperiode freies Vermögen des Steuerpflichtigen geworden ist.</w:t>
      </w:r>
    </w:p>
    <w:p>
      <w:r>
        <w:t>Regeste Impôt pour la défense nationale: Calcul du revenu imposable du propriétaire dans les cas où une fortune grevée d'un usufruit est libérée de cette charge au cours de la période de calcul.</w:t>
      </w:r>
    </w:p>
    <w:p>
      <w:r>
        <w:t>Regesto Imposta per la difesa nazionale: Calcolo del reddito imponibile del proprietario nel caso in cui una sua sostanza gravata di usufrutto è liberata da quest'onere nel corso del periodo di computo.</w:t>
      </w:r>
    </w:p>
    <w:p>
      <w:pPr>
        <w:pStyle w:val="Heading2"/>
      </w:pPr>
      <w:r>
        <w:t>Erwägungen</w:t>
      </w:r>
    </w:p>
    <w:p>
      <w:r>
        <w:rPr>
          <w:b/>
        </w:rPr>
        <w:t>E. 2</w:t>
      </w:r>
    </w:p>
    <w:p>
      <w:r>
        <w:t>Hier fragt es sich, ob der mit dem Tode der Mutter der Steuerpflichtigen eingetretene Wegfall einer Nutzniessung an bestimmten, der Steuerpflichtigen zu Eigentum zustehenden Vermögenswerten als "Vermögensanfall von Todes wegen" im Sinne von Art. 42 WStB anzusprechen ist. Die Rekurskommission hat angenommen, dass mit dem Wegfall einer Nutzniessung kein Übergang von Vermögen verbunden sei, weil die Vermögenssubstanz dem Steuerpflichtigen bereits gehöre. Dabei wird jedoch verkannt, dass sich das Vermögen nicht im Eigentum an Sachgütern erschöpft. Als Vermögen gilt die Gesamtheit der einer Person privatrechtlich zustehenden Sachen und Rechte ( BGE 80 I 370 ; vgl. BLUMENSTEIN, Steuerrecht I S. BGE 81 I 236 S. 238 172/3). Es fallen darunter nicht nur Sachgüter, sondern auch Berechtigungen. Vor allem bilden Nutzungsrechte privatrechtlich Bestandteile des Vermögens des Nutzungsberechtigten. Ob die Nutzung nach der positiven Besteuerungsordnung als Vermögen oder Einkommen erfasst wird, berührt die Frage der privatrechtlichen Charakterisierung der Berechtigung als Vermögensbestandteil nicht. Übrigens wird nach Art. 27, Abs. 2 WStB Vermögen, an dem eine Nutzniessung bestellt ist, dem Nutzniesser zugerechnet. Steuerrechtlich erscheint also solches Vermögen kraft einer ausdrücklichen gesetzlichen Bestimmung nicht als Bestandteil des Vermögens des zivilrechtlichen Eigentümers des Nutzniessungsgutes, sondern des Nutzniessers. Die nuda proprietas ist, nach der Ordnung des WStB, kein steuerbares Vermögen. Dem Eigentümer wird das Vermögen erst angerechnet, wenn er auch die Nutzung erhalten hat. Wenn die Nutzniessung wegfällt, so bedeutet das für ihn steuerrechtlich eine Vermehrung seines Vermögens, gleichwie ihm wirtschaftlich Leistungsfähigkeit zuwächst; es fällt ihm steuerrechtlich Vermögen an, das er bisher nicht gehabt hat. Dass steuerrechtlich ein Vermögensanfall nicht nur vorliegt, wenn damit zivilrechtlich ein Übergang der Vermögenssubstanz verbunden ist, ergibt sich daraus, dass das Steuerrecht auch den infolge Scheidung entstehenden Wegfall einer Nutzung als steuerrechtlich erheblichen Vermögensanfall betrachtet. Wenn bei dieser Rechtslage Art. 42 WStB Einkommensveränderungen infolge von "Vermögensanfall von Todes wegen" einer Sonderbehandlung unterstellt, so muss der Anfall eines dem Steuerpflichtigen bisher nicht zustehenden Nutzungsrechtes zur Anwendung der Sonderbehandlung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