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22</w:t>
      </w:r>
    </w:p>
    <w:p>
      <w:r>
        <w:t>Bundesgericht (BGE), 1955-03-09, FR</w:t>
      </w:r>
    </w:p>
    <w:p>
      <w:r>
        <w:rPr>
          <w:b/>
        </w:rPr>
        <w:t xml:space="preserve">Quelle: </w:t>
      </w:r>
      <w:r>
        <w:t>https://mcp.opencaselaw.ch/entscheid/bge_BGE_81_I_22</w:t>
      </w:r>
    </w:p>
    <w:p>
      <w:r>
        <w:t>FR: ATF 81 I 22</w:t>
      </w:r>
    </w:p>
    <w:p>
      <w:r>
        <w:t>IT: DTF 81 I 22</w:t>
      </w:r>
    </w:p>
    <w:p>
      <w:pPr>
        <w:pStyle w:val="Heading2"/>
      </w:pPr>
      <w:r>
        <w:t>Regeste</w:t>
      </w:r>
    </w:p>
    <w:p>
      <w:r>
        <w:t>Regeste Doppelbesteuerung; Stempelabgaben. Art. 46 Abs. 2 BV ist auch anwendbar auf Stempelabgaben, die nach dem beurkundeten Wert bemessen werden. Zur Besteuerung berechtigt ist der Kanton, auf dessen Gebiet die Urkunde errichtet worden ist, gleichgültig wo der Vertrag geschlossen worden ist.</w:t>
      </w:r>
    </w:p>
    <w:p>
      <w:r>
        <w:t>Regeste Double imposition; droit de timbre proportionnel. Le droit de timbre proportionnel à la valeur constatée dans un acte écrit est un impôt auquel s'applique l'art. 46 al. 2 Cst. Le droit de le prélever appartient au canton sur le territoire duquel le document a été créé, sans égard au lieu où le contrat a été conclu.</w:t>
      </w:r>
    </w:p>
    <w:p>
      <w:r>
        <w:t>Regesto Doppia imposta; diritti di bollo. L'art. 46 cp. 2 CF è applicabile anche al diritto di bollo, proporzionato al valore dell'atto. La facoltà di riscuotere il diritto di bollo spetta al cantone sul cui territorio fu eretto l'atto, senza riguardo al luogo ove venne stipulato il contratto.</w:t>
      </w:r>
    </w:p>
    <w:p>
      <w:pPr>
        <w:pStyle w:val="Heading2"/>
      </w:pPr>
      <w:r>
        <w:t>Erwägungen</w:t>
      </w:r>
    </w:p>
    <w:p>
      <w:r>
        <w:rPr>
          <w:b/>
        </w:rPr>
        <w:t>E. 1</w:t>
      </w:r>
    </w:p>
    <w:p>
      <w:r>
        <w:t>Ainsi que le Tribunal fédéral l'a déjà admis, le droit de timbre proportionnel à la valeur constatée dans un acte écrit est un impôt auquel s'applique l'art. 46 al. 2 Cst. (RO 71 I 325, 72 I 10, 85). Il frappe le rapport juridique documenté par l'acte; c'est ce rapport qui est imposé à travers la pièce. Mais comme ne sont imposés que les rapports juridiques qui font l'objet d'un acte, le pouvoir de prélever l'impôt prend naissance avec la rédaction du document seulement. Il appartient dès lors exclusivement au canton sur le territoire duquel ce document a été créé (RO 72 I 85), c'est-à-dire où le contrat a été rédigé et signé. La jurisprudence n'attache pas d'importance en revanche au lieu où le contrat a été conclu. En l'espèce, la pièce constatant le contrat de vente a été établie et signée par l'acheteur et le représentant du vendeur à Fleurier, dans le canton de Neuchâtel. Cela résulte notamment du préambule de la lettre que la recourante a écrite à Henri Huguenin le 21 octobre 1954. Il s'ensuit que la souveraineté fiscale appartient au canton de Neuchâtel. La recourante objecte, il est vrai, que, d'après l'acte lui-même, une confirmation écrite de sa part était nécessaire et que cette confirmation est intervenue à Gossau. Cependant cet argument ne peut être retenu. La réserve relative à "la confirmation par écrit de la direction du fournisseur" n'a rien à voir avec l'établissement du document. BGE 81 I 22 S. 25 Elle concerne les modalités de la conclusion du contrat, lesquelles, précisément, ne jouent pas un rôle décisif dans la délimitation des souverainetés fiscales de deux cantons. La recourante fait également valoir que le contrat a été conclu à Gossau. Toutefois ce moyen ne peut être retenu non plus puisque le lieu où le contrat a été conclu est sans importance. Du moment que le pouvoir de prélever l'impôt appartenait au canton de Neuchâtel, les autorités de ce canton pouvaient, conformément aux art. 58 et 59 de la loi du 9 février 1935, réclamer le droit de timbre à la recourante, qui était "partie à l'acte" et l'invoquait "devant un officier public". L'arrêt RO 72 I 85 ne s'y opposait pas car il concerne une espèce où la souveraineté fiscale avait été reconnue à un autre canton que celui qui avait prélevé l'impôt, ce qui n'est pas le cas ici.</w:t>
      </w:r>
    </w:p>
    <w:p>
      <w:r>
        <w:rPr>
          <w:b/>
        </w:rPr>
        <w:t>E. 2</w:t>
      </w:r>
    </w:p>
    <w:p>
      <w:r>
        <w:t>La recourante soutient en outre que certaines dispositions de la loi neuchâteloise du 9 février 1935 et du règlement d'exécution du 12 juillet 1938 sont incompatibles avec l'art. 46 al. 2 Cst. Elle est recevable à le faire puisqu'elle agit à l'occasion d'un cas particulier où l'autorité a fait usage de ces dispositions (RO 80 I 137). Mais son recours sur ce point doit être rejeté, l'application de ces textes ne conduisant pas en l'occurrence à une double imposition contraire à l'art. 46 al. 2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