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113</w:t>
      </w:r>
    </w:p>
    <w:p>
      <w:r>
        <w:t>Bundesgericht (BGE), 1955-05-04, DE</w:t>
      </w:r>
    </w:p>
    <w:p>
      <w:r>
        <w:rPr>
          <w:b/>
        </w:rPr>
        <w:t xml:space="preserve">Quelle: </w:t>
      </w:r>
      <w:r>
        <w:t>https://mcp.opencaselaw.ch/entscheid/bge_BGE_81_I_113</w:t>
      </w:r>
    </w:p>
    <w:p>
      <w:r>
        <w:t>FR: ATF 81 I 113</w:t>
      </w:r>
    </w:p>
    <w:p>
      <w:r>
        <w:t>IT: DTF 81 I 113</w:t>
      </w:r>
    </w:p>
    <w:p>
      <w:pPr>
        <w:pStyle w:val="Heading2"/>
      </w:pPr>
      <w:r>
        <w:t>Regeste</w:t>
      </w:r>
    </w:p>
    <w:p>
      <w:r>
        <w:t>Regeste Kantonales Prozessrecht. Rechtsverweigerung, rechtsungleiche Behandlung. Auslegung und Anwendung einer Vorschrift, wonach schriftliche Rechtsvorkehren entweder von der Partei selber verfasst oder von einem zugelassenen Anwalt unterschrieben sein müssen (§ 13 aarg. Advokatengesetz und § 51 aarg. ZPO).</w:t>
      </w:r>
    </w:p>
    <w:p>
      <w:r>
        <w:t>Regeste Procédure cantonale. Déni de justice, inégalité de traitement. Interprétation et application d'une disposition selon laquelle les actes écrits de la procédure doivent soit être rédigés par la partie elle-même soit être signés par un avocat admis à pratiquer (§ 13 de la loi argovienne sur le barreau et § 51 du CPC argovien).</w:t>
      </w:r>
    </w:p>
    <w:p>
      <w:r>
        <w:t>Regesto Diritto processuale cantonale. Diniego di giustizia, disparità di trattamento. Interpretazione e applicazione d'una disposizione, secondo la quale gli allegati scritti debbono essere sia redatti dalla parte stessa, sia firmati da un avvocato ammesso a praticare (§ 13 della legge argoviese sull'esercizio dell avvocatura e § 51 del CPC argoviese).</w:t>
      </w:r>
    </w:p>
    <w:p>
      <w:pPr>
        <w:pStyle w:val="Heading2"/>
      </w:pPr>
      <w:r>
        <w:t>Erwägungen</w:t>
      </w:r>
    </w:p>
    <w:p>
      <w:r>
        <w:rPr>
          <w:b/>
        </w:rPr>
        <w:t>E. 3</w:t>
      </w:r>
    </w:p>
    <w:p>
      <w:r>
        <w:t>Der vom Obergericht in erster Linie angerufene § 13 AdvG lautet: "Die Gerichtsbehörden werden darüber wachen, dass keine schriftlichen Vorträge angenommen werden, welche entweder nicht selbst von einer Partei wirklich und persönlich verfasst oder von einem zugelassenen Anwalte unterschrieben sind." Das Bundesgericht hat schon mehrfach entschieden, dass diese Bestimmung an sich nicht gegen Art. 4 BV verstösst ( BGE 46 I 302 Erw. 1 und dort erwähntes Urteil vom 9. Februar 1917 i.S. Koch). Es hat indessen angenommen, dass unter "Vortrag" im Sinne dieser Bestimmung nur die schriftliche Begründung eines Rechtsbegehrens, nicht aber auch dieses selbst verstanden werden könne ( BGE 46 I 303 Erw. 3, nicht veröffentl. Urteil vom 18. September 1931 i.S. Wirth). Da die vorliegende Eingabe der Beschwerdeführerin einzig in einem Beschwerdebegehren ohne Begründung bestand (und unbestrittenermassen auch keiner Begründung bedurfte), durfte somit das Eintreten auf das Begehren nicht gestützt auf § 13 AdvG abgelehnt werden. Nun stützt sich der angefochtene Entscheid jedoch auch auf § 51 ZPO , der, obwohl seit 1902 in Kraft, in den früher dem Bundesgericht unterbreiteten Fällen von keiner Seite angerufen, sondern vom Obergericht erstmals im Urteil, in dem es sich zufolge Aufhebung seines Nichteintretensentscheids materiell mit der Streitsache Wirth befasste, herangezogen wurde (Vierteljahrsschrift für aarg. Rechtsprechung 1932 S. 94/5). Nach dieser Bestimmung sind, von hier nicht in Betracht fallenden Ausnahmen abgesehen, "nur patentierte Anwälte befugt, im Prozesse für die Partei mündliche Vorträge zu halten und schriftliche Rechtsvorkehren zu erstatten." BGE 81 I 113 S. 117 Die Annahme des Obergerichts, dass der Ausdruck "schriftliche Vorträge" in § 13 AdvG nach dieser neueren Gesetzesvorschrift auszulegen sei und dass der in § 51 ZPO enthaltene Begriff der "Rechtsvorkehr" auch blosse Beschwerdebegehren umfasse, lässt sich nicht als willkürlich bezeichnen. Es kann sich nur fragen, ob § 13 AdvG und § 51 ZPO in dieser Auslegung mit dem Grundsatz der Rechtsgleichheit oder mit der verfassungsmässigen Gewährleistung des rechtlichen Gehörs unvereinbar sind.</w:t>
      </w:r>
    </w:p>
    <w:p>
      <w:r>
        <w:rPr>
          <w:b/>
        </w:rPr>
        <w:t>E. 4</w:t>
      </w:r>
    </w:p>
    <w:p>
      <w:r>
        <w:t>Wenn die §§ 13 AdvG und 51 ZPO im eben genannten Sinn streng ausgelegt werden, ist die von einem Anwalt verfasste Rechtsmittelerklärung nur gültig, wenn dieser zur Zeit ihrer Abfassung allgemein oder für den Einzelfall zum Handeln vor aargauischen Gerichten zugelassen war. Ob diese Auslegung, die den Beizug eines bisher im Kanton Aargau nicht zugelassenen Anwalts für die Erhebung eines kurzbefristeten Rechtsmittels erheblich erschwert, wenn nicht verunmöglicht, vor Art. 4 BV Bestand hätte, kann dahingestellt bleiben. Das Obergericht selber nimmt diesen Standpunkt nicht ein; vielmehr lässt es eine nachträgliche Heilung des Mangels zu, jedoch nur unter der Voraussetzung, dass das Gesuch um Erteilung der fehlenden Zulassungsbewilligung noch innert der Rechtsmittelfrist gestellt wird. Für diese Beschränkung wird jedoch weder im angefochtenen Entscheid noch in den dort erwähnten Präjudizien (VJS 1921 S. 164, 1933 S. 56) ein Grund angegeben. Ein solcher ist auch nicht ersichtlich. Bestimmungen wie § 13 AdvG und § 51 ZPO haben, so hat das Bundesgericht bereits im Urteil vom 9. Februar 1917 i.S. Koch (VJS 1917 S. 140 ff.) ausgeführt, zum Zweck, die Ausübung des Anwaltsberufes den hiezu vermöge ihrer Kenntnisse und ihres Charakters geeigneten Personen vorzubehalten und Winkeladvokaten und dergl. auszuschliessen. Dieser Zweck erfordert keineswegs, dass der Anwalt, der eine Beschwerdeerklärung für eine Partei verfasst, schon innert der Beschwerdefrist um die Zulassung zum Handeln vor aargauischen Gerichten BGE 81 I 113 S. 118 einkomme. Die Gefahr, dass eine nicht geeignete Person unerkannter- und unerwünschterweise ihr verstecktes Handwerk betreibt, besteht auch dann nicht, wenn die Bewilligung erst später nachgesucht wird; erforderlich ist nur, dass sie im Zeitpunkt, wo der Verfasser der Beschwerde festgestellt und über deren Zulässigkeit entschieden wird, vorliegt. So verhält es sich aber hier. Die Anwaltskammer des Obergerichts hat Dr. Heeb die Zulassungsbewilligung für den vorliegenden Prozess am 8. Mai 1954 erteilt, und die Beschwerdeführerin hat, als sie ihn am 6. Oktober 1954 auf Befragen als Verfasser bezeichnete, gleichzeitig darauf hingewiesen, dass er eine Zulassungsbewilligung eingeholt habe, die denn auch am 18. Oktober 1954 eingereicht wurde. Bei dieser Sachlage ist aber aus dem Gesichtspunkt des Zwecks der §§ 13 AdvG und 51 ZPO kein vernünftiger Grund ersichtlich, der es gerechtfertigt hätte, am 26. November 1954 auf die Beschwerde nicht einzutreten. Sie gestützt auf diese Bestimmungen von der Hand zu weisen, obwohl feststand, dass der Anwalt, der sie verfasste, nicht nur die Zulassungsbedingungen erfüllte, sondern die Bewilligung zur Vertretung der Beschwerdeführerin gerade in dieser Streitsache schon längst besass, bedeutet einerseits einen übertriebenen Formalismus, der sich durch keine schutzwürdigen Interessen rechtfertigen lässt, und damit eine Rechtsverweigerung, anderseits eine rechtsungleiche Behandlung der Beschwerdeführerin im Verhältnis zu den Fällen, in denen nach der Praxis des Obergerichts eine nachträgliche Zulassungsbewilligung genügt.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