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w:t>
      </w:r>
    </w:p>
    <w:p>
      <w:r>
        <w:t>Bundesgericht (BGE), 1955-03-02, DE</w:t>
      </w:r>
    </w:p>
    <w:p>
      <w:r>
        <w:rPr>
          <w:b/>
        </w:rPr>
        <w:t xml:space="preserve">Quelle: </w:t>
      </w:r>
      <w:r>
        <w:t>https://mcp.opencaselaw.ch/entscheid/bge_BGE_81_I_1</w:t>
      </w:r>
    </w:p>
    <w:p>
      <w:r>
        <w:t>FR: ATF 81 I 1</w:t>
      </w:r>
    </w:p>
    <w:p>
      <w:r>
        <w:t>IT: DTF 81 I 1</w:t>
      </w:r>
    </w:p>
    <w:p>
      <w:pPr>
        <w:pStyle w:val="Heading2"/>
      </w:pPr>
      <w:r>
        <w:t>Regeste</w:t>
      </w:r>
    </w:p>
    <w:p>
      <w:r>
        <w:t>Regeste Gesamtarbeitsvertrag; Willkür. Zulässigkeit und Auslegung einer Vertragsbestimmung, wonach die beteiligten Arbeitgeber die Vertragsnormen auch gegenüber nicht organisierten Arbeitnehmern anzuwenden und im Falle, dass sie diesen niedrigere als die vertraglichen Löhne ausrichten, die Differenz (als Konventionalstrafe) an einen Verbandsfonds zu bezahlen haben.</w:t>
      </w:r>
    </w:p>
    <w:p>
      <w:r>
        <w:t>Regeste Contrat collectif de travail; arbitraire. Admissibilité et interprétation d'une disposition contractuelle d'après laquelle les employeurs doivent appliquer les règles de la convention aux ouvriers non syndiqués et, lorsqu'ils leur versent des salaires inférieurs à ceux prévus par le contrat, payer la différence, comme peine conventionnelle, à un fonds d'association.</w:t>
      </w:r>
    </w:p>
    <w:p>
      <w:r>
        <w:t>Regesto Contratto collettivo di lavoro; arbitrio. Ammissibilità e interpretazione di una disposizione contrattuale secondo cui i datori di lavoro devono applicare le norme della convenzione anche ai lavoratori non organizzati e, se pagano loro salari inferiori a quelli previsti dal contratto, versare la differenza (a titolo di pena convenzionale) a un fondo dell'associazione.</w:t>
      </w:r>
    </w:p>
    <w:p>
      <w:pPr>
        <w:pStyle w:val="Heading2"/>
      </w:pPr>
      <w:r>
        <w:t>Erwägungen</w:t>
      </w:r>
    </w:p>
    <w:p>
      <w:r>
        <w:rPr>
          <w:b/>
        </w:rPr>
        <w:t>E. 3</w:t>
      </w:r>
    </w:p>
    <w:p>
      <w:r>
        <w:t>Wenn der GAV auch keine Ansprüche der daran nicht beteiligten Arbeitnehmer gegen ihre Arbeitgeber begründet, kann er diesen doch auch inbezug auf solche Arbeitnehmer Pflichten auferlegen. So kann der GAV vorsehen, dass der Arbeitgeber seine Normen gegenüber den nicht organisierten Arbeitnehmern in gleicher Weise wie gegenüber den organisierten und am GAV beteiligten Arbeitnehmern anzuwenden habe (SCHWEINGRUBER, Arbeitsrecht, 2. Aufl. S. 76). Nun bestimmt der vorliegende GAV in Art. 1 Ziff. 1, dass er die Arbeits- und Lohnverhältnisse sämtlicher in den einschlägigen Gewerben des Platzes Basel beschäftigten Arbeitnehmer regle. Angesichts dieser umfassenden Umschreibung des Kreises der betroffenen Arbeitnehmer sind, wie ohne jede Willkür angenommen werden kann, die auf den GAV verpflichteten Arbeitgeber gehalten, den Bestimmungen des GAV sowohl inbezug auf die organisierten wie auch inbezug auf die nicht organisierten Arbeiter nachzuleben.</w:t>
      </w:r>
    </w:p>
    <w:p>
      <w:r>
        <w:rPr>
          <w:b/>
        </w:rPr>
        <w:t>E. 4</w:t>
      </w:r>
    </w:p>
    <w:p>
      <w:r>
        <w:t>Da sich die Ansprüche der nicht organisierten Arbeitnehmer nicht nach dem GAV, sondern nach den mit ihren Arbeitgebern abgeschlossenen Dienstverträgen richten, BGE 81 I 1 S. 4 können nicht organisierte Hilfsarbeiter, die entgegen Art. 35 Ziff. 2 GAV zu Anstricharbeiten verwendet werden, hieraus keine Ansprüche gegen ihren Arbeitgeber ableiten. Das schliesst aber nicht aus, dass dieser wegen Verletzung des Verbotes nicht nur zu einer Konventionalstrafe, sondern auch zu entsprechenden Nachzahlungen verpflichtet wird. Art. 19 GAV sieht in Ziff. 1 für Arbeitgeber, die gegen die Bestimmungen des GAV verstossen, als Sanktion, und zwar in erster Linie, entsprechende Nachzahlungen vor und bestimmt in Ziff. 3, dass Nachzahlungen, welche von den Arbeitern nicht beansprucht werden können, in den Fonds der Paritätischen Kommission einzubezahlen sind. Wenn der Beschwerdeführer, der nichtorganisierte Hilfsarbeiter mit einem Mindeststundenlohn von Fr. 2.55 zu einer den gelernten Malern mit einem Mindeststundenlohn von Fr. 2.84 vorbehaltenen Arbeit verwendet hat, zur Nachzahlung der Differenz an den Fonds verurteilt worden ist, so lässt sich diese Verpflichtung jedenfalls mit dem Wortlaut des GAV sehr wohl vereinbaren. Sie entspricht aber auch, wie ohne Willkür angenommen werden kann, dem Sinn und Zweck des GAV. Das Verbot, Hilfsarbeiter zu Anstricharbeiten zu verwenden, dient einerseits dem Schutz der gelernten Arbeiter und der Förderung der beruflichen Ausbildung, anderseits aber, wie die Gesamtarbeitsverträge überhaupt (BBl 1954 S. 126), der Ordnung des Konkurrenzkampfes. Dieser Zweck lässt es aber als gerechtfertigt und keinesfalls willkürlich erscheinen, dass ein Arbeitgeber, der sich durch die nach dem GAV verbotene Verwendung unqualifizierter Arbeiter für qualifizierte Arbeiten gegenüber den vertragstreuen Konkurrenten einen Vorteil verschafft hat, zum Ausgleich zu einer der Lohndifferenz entsprechenden Nachzahlung verpflichtet wird, und zwar, falls die betreffenden Arbeiter als nicht organisiert oder aus andern Gründen keinen Anspruch auf die Nachzahlung haben, an den Fonds der Paritätischen Kommission. In diesem Falle ist die Nachzahlung nicht mehr Lohnzahlung, sondern sie stellt eine zusätzliche Konventionalstrafe BGE 81 I 1 S. 5 dar. Als solche ist sie aber, wie sich aus den vorstehenden Ausführungen ergibt, sowohl mit dem Wortlaut als auch mit dem Sinn und Zweck des GAV vereinbar, weshalb der Einwand des Beschwerdeführers, der Regierungsrat anerkenne willkürlich einen Nachzahlungsanspruch für einen weder gesamt- noch einzeldienstvertraglich festgesetzten Lohn, sich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