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77</w:t>
      </w:r>
    </w:p>
    <w:p>
      <w:r>
        <w:t>Bundesgericht (BGE), 1955-01-01, DE</w:t>
      </w:r>
    </w:p>
    <w:p>
      <w:r>
        <w:rPr>
          <w:b/>
        </w:rPr>
        <w:t xml:space="preserve">Quelle: </w:t>
      </w:r>
      <w:r>
        <w:t>https://mcp.opencaselaw.ch/entscheid/bge_BGE_81_IV_77</w:t>
      </w:r>
    </w:p>
    <w:p>
      <w:r>
        <w:t>FR: ATF 81 IV 77</w:t>
      </w:r>
    </w:p>
    <w:p>
      <w:r>
        <w:t>IT: DTF 81 IV 77</w:t>
      </w:r>
    </w:p>
    <w:p>
      <w:pPr>
        <w:pStyle w:val="Heading2"/>
      </w:pPr>
      <w:r>
        <w:t>Regeste</w:t>
      </w:r>
    </w:p>
    <w:p>
      <w:r>
        <w:t>Regeste Art. 273 Abs. 2 BStP. Wenn der Beschwerdeführer in der neuen Beschwerdeschrift wieder gegen Art. 273 Abs. 1 lit. b BStP verstösst, ist auf die Beschwerde nicht einzutreten (Erw. 1), desgleichen wenn er darin nach Ablauf der Frist des Art. 272 Abs. 2 BStP ergänzende Anbringen macht, obwohl ihm der Präsident des Kassationshofes angedroht hatte, dass auch solche das Nichteintreten zur Folge hätten (Erw. 4).</w:t>
      </w:r>
    </w:p>
    <w:p>
      <w:r>
        <w:t>Regeste Art. 273 al. 2 PPF. Si, dans son nouveau mémoire, le recourant enfreint derechef l'art. 273 al. 1 litt. b PPF, le pourvoi en nullité est irrecevable (consid. 1). Il en est de même si, après l'expiration du délai de l'art. 272 al. 2 PPF, le recourant insère des motifs complémentaires dans son nouveau mémoire, bien que le président de la Cour de cassation l'ait averti que de telles adjonctions entraîneraient également l'irrecevabilité du recours (consid. 4).</w:t>
      </w:r>
    </w:p>
    <w:p>
      <w:r>
        <w:t>Regesto Art. 273 cp. 2 PPF. Se nel nuovo atto di motivazione il ricorrente contravviene ancora una volta alla disposizione dell'art. 273 cp. 1 lett. b PPF, il ricorso per cassazione è irricevibile (consid. 1). Lo stesso dicasi se dopo la scadenza del termine dell'art. 272 cp. 2 PPF il ricorrente inserisce nel suo nuovo atto di motivazione indicazioni completive, nonostante il presidente della Corte di cassazione l'abbia avvertito che anche siffatte aggiunte comporterebbero l'irricevibilità del ricorso (consid. 4).</w:t>
      </w:r>
    </w:p>
    <w:p>
      <w:pPr>
        <w:pStyle w:val="Heading2"/>
      </w:pPr>
      <w:r>
        <w:t>Erwägungen</w:t>
      </w:r>
    </w:p>
    <w:p>
      <w:r>
        <w:rPr>
          <w:b/>
        </w:rPr>
        <w:t>E. 1</w:t>
      </w:r>
    </w:p>
    <w:p>
      <w:r>
        <w:t>Das Obergericht führt aus, Strahm könne als 75 jähriger angetrunkener Mann nicht anders als gemächlichen Schrittes dahergekommen sein; mehr als einen Meter in der Sekunde, was 3,5-4 km in der Stunde entspreche, dürfte er nicht zurückgelegt haben. Damit lehnt es eine schnellere Gangart Strahms ab, was sich deutlich auch daraus ergibt, dass es in anderem Zusammenhang ausführt, er habe auf jeden Fall 3-4 Sekunden benötigt, um die 3-4 m vom Randstein bis zur Unfallstelle zurückzulegen. Darauf stellt es denn auch in der rechtlichen Würdigung des Sachverhaltes ab. Der Anwalt des Beschwerdeführers geht seinerseits davon aus, wenn er geltend macht, Strahm hätte nach den Ausführungen des Obergerichts 6 Sekunden benötigt, um die Hälfte der Fahrbahn zu überqueren. An anderer Stelle passt ihm jedoch diese Berechnung nicht. Hier versucht er ihr eine andere unterzuschieben, indem er geltend macht, wenn man von einem durchschnittlichen Fussgängertempo von 5 km/Std. ausgehe, habe Strahm 2 1/2 Sekunden benötigt, um die 3, 7 m vom Betreten der Strasse bis zur Stelle des Zusammenstosses zurückzulegen. Wiederum anderswo geht er von einer Zeitspanne von 2 1/2 bis 3 1/2 Sekunden aus, statt auf die vom Obergericht verbindlich ermittelten 3-4 Sekunden abzustellen. Der Anwalt des Beschwerdeführers hat somit die vom Präsidenten des Kassationshofes erteilte Weisung, die Anfechtung tatsächlicher Feststellungen aus der Beschwerde auszuscheiden, insofern nicht befolgt. Schon das allein schliesst gemäss Art. 273 Abs. 2 BStP aus, dass der Kassationshof auf die Beschwerde eintrete.</w:t>
      </w:r>
    </w:p>
    <w:p>
      <w:r>
        <w:rPr>
          <w:b/>
        </w:rPr>
        <w:t>E. 4</w:t>
      </w:r>
    </w:p>
    <w:p>
      <w:r>
        <w:t>Wie in BGE 79 IV 92 ausgeführt wurde, dient die Nachfrist des Art. 273 Abs. 2 BStP nur dazu, die unzulässigen Anbringen aus der fristgemäss eingereichten Beschwerdeschrift zu entfernen; sie ist nicht bestimmt, dem Beschwerdeführer nach Ablauf der Frist des Art. 272 Abs. 2 BStP Gelegenheit zur Ergänzung der Begründung zu geben. BGE 81 IV 77 S. 80 Die Beschwerdeschrift vom 31. Januar 1955 enthält auch Anbringen, die unter diesem Gesichtspunkt unzulässig sind. Der Beschwerdeführer hat in die neue Begründung z.B. zahlenmässige Angaben und Berechnungen aufgenommen, die in der zurückgewiesenen Eingabe fehlten. Wollte er im Hinblick auf seine kantonale Nichtigkeitsbeschwerde sie in der eidgenössischen Beschwerde ursprünglich nicht so vortragen, so berechtigte ihn das nicht, die Nachfrist des Art. 273 Abs. 2 BStP zu benützen, um nach der Abweisung der kantonalen Nichtigkeitsbeschwerde Front zu wechseln. Neu sind unter anderem auch die Rüge der Verletzung der Rechtsgleichheit, die Erörterungen über die westlich der Hardstrasse liegenden Heimgärten und der Standpunkt, es habe kein reger Fahrzeugverkehr geherrscht und deshalb die Geschwindigkeit nicht stark gemässigt zu werden brauchen. Wäre dem Beschwerdeführer im Schreiben des Präsidenten des Kassationshofes angedroht worden, dass auch die unzulässige Ergänzung der Beschwerdebegründung Nichteintreten zur Folge hätte, so wäre auf die Beschwerde auch wegen der neuen Anbringen nicht einzutreten. Denn die Zurückweisung einer Beschwerdeschrift gemäss Art. 273 Abs. 2 BStP würde ihren Zweck der Vereinfachung des Beschwerdeverfahrens verfehlen, wenn der Beschwerdeführer, ohne einen Rechtsnachteil gewärtigen zu müssen, in der "verbesserten" Beschwerdeschrift an Stelle der dem Art. 273 Abs. 1 lit. b BStP widersprechenden Anbringen solche machen dürfte, die unter einem anderen Gesichtspunkt, nämlich wegen Ablaufs der Frist des Art. 272 Abs. 2 BStP , unzulässig sind.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