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IV 64</w:t>
      </w:r>
    </w:p>
    <w:p>
      <w:r>
        <w:t>Bundesgericht (BGE), 1955-01-01, FR</w:t>
      </w:r>
    </w:p>
    <w:p>
      <w:r>
        <w:rPr>
          <w:b/>
        </w:rPr>
        <w:t xml:space="preserve">Quelle: </w:t>
      </w:r>
      <w:r>
        <w:t>https://mcp.opencaselaw.ch/entscheid/bge_BGE_81_IV_64</w:t>
      </w:r>
    </w:p>
    <w:p>
      <w:r>
        <w:t>FR: ATF 81 IV 64</w:t>
      </w:r>
    </w:p>
    <w:p>
      <w:r>
        <w:t>IT: DTF 81 IV 64</w:t>
      </w:r>
    </w:p>
    <w:p>
      <w:pPr>
        <w:pStyle w:val="Heading2"/>
      </w:pPr>
      <w:r>
        <w:t>Regeste</w:t>
      </w:r>
    </w:p>
    <w:p>
      <w:r>
        <w:t>Regeste Art. 346 StGB. Betrügerischer Konkurs und leichtsinniger Konkurs sind am Orte zu verfolgen, an dem der Schuldner zur Zeit der Begehung seinen Wohn- oder Geschäftssitz hatte, auch wenn der Konkurs an einem anderen Orte eröffnet worden ist.</w:t>
      </w:r>
    </w:p>
    <w:p>
      <w:r>
        <w:t>Regeste Art. 346 CP. La banqueroute frauduleuse et la banqueroute simple doivent être poursuivies à l'endroit où le débiteur avait son domicile ou son siège social au moment de la commission des infractions. Peu importe que la faillite ait été ouverte dans un autre lieu.</w:t>
      </w:r>
    </w:p>
    <w:p>
      <w:r>
        <w:t>Regesto Art. 346 CP. La bancarotta fraudolenta e la bancarotta semplice devono essere perseguite nel luogo in cui il debitore aveva il suo domicilio o la sua sede sociale quando il reato fu compiuto, anche se il fallimento è stato aperto in un altro luogo.</w:t>
      </w:r>
    </w:p>
    <w:p>
      <w:pPr>
        <w:pStyle w:val="Heading2"/>
      </w:pPr>
      <w:r>
        <w:t>Erwägungen</w:t>
      </w:r>
    </w:p>
    <w:p>
      <w:r>
        <w:rPr>
          <w:b/>
        </w:rPr>
        <w:t>E. 1</w:t>
      </w:r>
    </w:p>
    <w:p>
      <w:r>
        <w:t>En ce qui concerne les délits d'escroquerie, tous les inculpés, savoir Arthur B., Werner C. et Walter T., relèvent du juge bernois. Il n'y a pas de contestation sur ce point.</w:t>
      </w:r>
    </w:p>
    <w:p>
      <w:r>
        <w:rPr>
          <w:b/>
        </w:rPr>
        <w:t>E. 2</w:t>
      </w:r>
    </w:p>
    <w:p>
      <w:r>
        <w:t>Selon la jurisprudence du Tribunal fédéral, le délit de banqueroute simple doit être poursuivi, en principe, au domicile ou au siège social qu'avait le débiteur lors de la commission des infractions (RO 72 IV 91, 73 IV 57), c'est-à-dire à l'époque des actes ou des omissions que le juge entend incriminer pour établir la légèreté coupable, les dépenses exagérées, les spéculations hasardées ou la grave négligence de l'inculpé (art. 165 CP). Le Tribunal fédéral avait, cependant, réservé le cas où ce for ne coïncide pas avec celui de la faillite parce que, par exemple, comme en l'espèce, le siège social a changé depuis la commision BGE 81 IV 64 S. 66 des actes (RO 72 IV 92). Mais, même dans ce cas, il ne se justifie pas de s'écarter du principe établi par la jurisprudence et de désigner comme for de l'action pénale le lieu où la faillite a été ouverte. En fixant le for, en effet, il convient de s'en tenir autant que possible au centre de gravité de l'activité frauduleuse, car c'est là, en général, que se trouvent les preuves à administrer. Or, dans la banqueroute, ce centre de gravité est à l'endroit où le débiteur avait son domicile ou son siège social au moment des actes ou des omissions délictueux. Dès lors - sous réserve des dérogations que la Chambre d'accusation peut, dans les cas particuliers, apporter aux art. 346 et suiv. CP en vertu des art. 262 et 263 PPF - c'est ce lieu qui est décisif, même si le domicile du débiteur a changé après coup et si la faillite a été ouverte dans un autre endroit. En l'espèce, Walter T. et Arthur B. relèvent du for bernois. En effet, le premier n'est inculpé que d'escroquerie et le second, inculpé également de banqueroute simple, n'a été administrateur de la société qu'à l'époque où elle avait son siège à Berne. Quant à Werner C., il relève du for bernois pour l'escroquerie et du for genevois pour le délit de banqueroute, puisque la société était domiciliée à Genève pendant son mandat d'administrateur. Mais l'escroquerie étant l'infraction la plus grave, c'est le premier de ces fors qui l'emporte (art. 350 al. 1 CP). En ce qui concerne le requérant Edouard A., inculpé uniquement de banqueroute simple, il y a concours entre le for du Canton de Berne et celui du Canton de Genève, attendu que, durant l'époque où il a fait partie du conseil d'administration, la société a eu son siège successivement à Genève et à Berne. Mais, en vertu de l'art. 346 al. 2 CP, on doit admettre qu'il relève du juge où la première instruction a été ouverte, c'est-à-dire du juge bernois. Ainsi, l'application de la loi conduit, pour tous les inculpés et notamment pour le requérant A., à l'admission du for du Canton de Berne.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