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IV 60</w:t>
      </w:r>
    </w:p>
    <w:p>
      <w:r>
        <w:t>Bundesgericht (BGE), 1955-01-01, DE</w:t>
      </w:r>
    </w:p>
    <w:p>
      <w:r>
        <w:rPr>
          <w:b/>
        </w:rPr>
        <w:t xml:space="preserve">Quelle: </w:t>
      </w:r>
      <w:r>
        <w:t>https://mcp.opencaselaw.ch/entscheid/bge_BGE_81_IV_60</w:t>
      </w:r>
    </w:p>
    <w:p>
      <w:r>
        <w:t>FR: ATF 81 IV 60</w:t>
      </w:r>
    </w:p>
    <w:p>
      <w:r>
        <w:t>IT: DTF 81 IV 60</w:t>
      </w:r>
    </w:p>
    <w:p>
      <w:pPr>
        <w:pStyle w:val="Heading2"/>
      </w:pPr>
      <w:r>
        <w:t>Regeste</w:t>
      </w:r>
    </w:p>
    <w:p>
      <w:r>
        <w:t>Regeste Art. 81 Abs. 2 ZG schliesst nicht aus, dass jemand statt als Gehilfe als Mittäter bestraft werde.</w:t>
      </w:r>
    </w:p>
    <w:p>
      <w:r>
        <w:t>Regeste L'art. 81 al. 2 LD n'exclut pas qu'une personne puisse être condamnée comme coauteur au lieu de l'être comme complice.</w:t>
      </w:r>
    </w:p>
    <w:p>
      <w:r>
        <w:t>Regesto L'art. 81 cp. 2 LD non esclude che una persona possa essere condannata come coautore invece che come complice.</w:t>
      </w:r>
    </w:p>
    <w:p>
      <w:pPr>
        <w:pStyle w:val="Heading2"/>
      </w:pPr>
      <w:r>
        <w:t>Erwägungen</w:t>
      </w:r>
    </w:p>
    <w:p>
      <w:r>
        <w:rPr>
          <w:b/>
        </w:rPr>
        <w:t>E. 2</w:t>
      </w:r>
    </w:p>
    <w:p>
      <w:r>
        <w:t>Auch wenn sie [die Frage, ob Gross in bezug auf die dem Bogdanov Castillon zur Last fallenden Widerhandlungen Gehilfe oder vielmehr Mittäter sei] zu entscheiden wäre, könnte dem Beschwerdeführer unmöglich die Stellung eines blossen Gehilfen zuerkannt werden. Nach aussen als Käufer und Wiederverkäufer der Ware auftretend, verband er sich mit Bogdanov Castillon zu einer stillen Gesellschaft, um die Ware unter Begehung der strafbaren Handlungen von Deutschland durch die Schweiz nach Spanien zu verschieben. Er steht durch seine Teilnahme am Entschlusse, aus dem diese Handlungen hervorgegangen sind, ja als geistiger Urheber des ganzen Planes, in geradezu typischer Weise als Hauptbeteiligter da und wäre daher auch nach allgemeinem BGE 81 IV 60 S. 63 Strafrecht als Täter (Mittäter) zu bestrafen ( BGE 69 IV 98 , BGE 70 IV 102 , BGE 76 IV 106 ). Eine Sonderbestimmung, die gemäss Art. 333 Abs. 1 StGB den allgemeinen Normen vorginge, enthält Art. 81 Abs. 2 ZG nicht. Art. 81 ZG will nicht die Täterschaft von der Gehilfenschaft abgrenzen, sondern lediglich bestimmen, dass auch Anstifter, Gehilfen und Begünstiger strafbar seien. In Abs. 1 werden diese drei Formen der Beteiligung umschrieben, und Abs. 2 stellt klar, als Gehilfe gelte insbesondere, "wer Waren liefert oder vermittelt, deren Einfuhr, Ausfuhr oder Durchfuhr verboten oder beschränkt ist und von denen er weiss oder annehmen muss, dass sie dazu bestimmt sind, unter Verletzung bestehender Verbote oder Beschränkungen über die Grenze geschafft zu werden." Damit wird nur gesagt, dass auch schon das blosse Liefern oder Vermitteln von Schmuggelware Gehilfenschaft sein könne, dass es also nicht etwa, weil der Lieferant oder Vermittler weder die Ware selber über die Grenze schafft, noch Auftrag dazu erteilt, straflos sei. Dass jemand, der die Ware liefert oder vermittelt, immer nur als Gehilfe zu bestrafen sei, auch wenn seine Beteiligung im einzelnen Falle die Merkmale der Mittäterschaft aufweist, wird damit nicht bestimmt. Zu einer solchen Privilegierung des Mittäters hätte auch sachlich gar kein Anlass bestanden. Inwiefern sodann daraus, dass die Zollübertretungen unter altem Zollgesetz Strafe auch ohne Verschulden nach sich zogen, die Unmöglichkeit strafbarer Mittäterschaft sich ergeben sollte, ist schon an sich unverständlich, ganz abgesehen davon, dass das geltende Zollgesetz auf dem Boden des Verschuldensstrafrechts steht, obschon es freilich den Exkulpationsbeweis dem Angeschuldigten auferlegt (Art. 75 Abs. 3, 77 Abs. 4 ZG). Die Auffassung des Verteidigers, nur der Warenführer könne Täter sein, wird zudem durch Art. 9 Abs. 1 ZG unmissverständlich widerlegt. Dispositiv Demnach erkennt der Kassationshof: Die Nichtigkeitsbeschwerde wird abgewiesen.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