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57</w:t>
      </w:r>
    </w:p>
    <w:p>
      <w:r>
        <w:t>Bundesgericht (BGE), 1955-01-01, FR</w:t>
      </w:r>
    </w:p>
    <w:p>
      <w:r>
        <w:rPr>
          <w:b/>
        </w:rPr>
        <w:t xml:space="preserve">Quelle: </w:t>
      </w:r>
      <w:r>
        <w:t>https://mcp.opencaselaw.ch/entscheid/bge_BGE_81_IV_57</w:t>
      </w:r>
    </w:p>
    <w:p>
      <w:r>
        <w:t>FR: ATF 81 IV 57</w:t>
      </w:r>
    </w:p>
    <w:p>
      <w:r>
        <w:t>IT: DTF 81 IV 57</w:t>
      </w:r>
    </w:p>
    <w:p>
      <w:pPr>
        <w:pStyle w:val="Heading2"/>
      </w:pPr>
      <w:r>
        <w:t>Regeste</w:t>
      </w:r>
    </w:p>
    <w:p>
      <w:r>
        <w:t>Regeste Art. 75 Abs. 3, 77 Abs. 4 ZG, Art. 52 Abs. 1 WUStB. 1. Zollübertretung und Bannbruch sind strafbar, wenn sie vorsätzlich oder fahrlässig begangen worden sind. 2. Gleiches gilt für die Hinterziehung der Warenumsatzsteuer. 3. Beweislast.</w:t>
      </w:r>
    </w:p>
    <w:p>
      <w:r>
        <w:t>Regeste Art. 75 al. 3, 77 al. 4 LD et 52 al. 1 AChA. 1. La contravention douanière et le trafic prohibé sont punissables lorsqu'ils ont été commis soit intentionnellement, soit par négligence. 2. Il en va de même de la soustraction de l'impôt sur le chiffre d'affaires. 3. Fardeau de la preuve.</w:t>
      </w:r>
    </w:p>
    <w:p>
      <w:r>
        <w:t>Regesto Art. 75 cp. 3, 77 cp. 4 LD e 52 cp. 1 DCA. 1. La contravvenzione doganale e l'infrazione dei divieti sono punibili se sono state commesse intenzionalmente o per negligenza. 2. Lo stesso vale per la sottrazione dell'imposta sulla cifra d'affari. 3. Onere della prova.</w:t>
      </w:r>
    </w:p>
    <w:p>
      <w:pPr>
        <w:pStyle w:val="Heading2"/>
      </w:pPr>
      <w:r>
        <w:t>Erwägungen</w:t>
      </w:r>
    </w:p>
    <w:p>
      <w:r>
        <w:rPr>
          <w:b/>
        </w:rPr>
        <w:t>E. 1</w:t>
      </w:r>
    </w:p>
    <w:p>
      <w:r>
        <w:t>La loi fédérale sur les douanes, du 1er octobre 1925, a soustrait la contravention douanière et le trafic prohibé à la catégorie des infractions purement matérielles, où les rangeait encore l'ancienne loi du 28 juin 1893. Implicitement tout au moins, ses art. 75 al. 3 et 77 al. 4 font apparaître la faute pénale comme un élément constitutif de l'infraction. Il est vrai que, sauf la preuve libératoire réservée à l'inculpé, cette faute se présume. Mais il s'agit là d'une simple règle du droit fédéral sur la preuve, qui n'exclut nullement le caractère constitutif de la faute. Celle-ci peut consister soit dans l'intention dolosive, soit même dans une simple négligence, comme il appert des dispositions légales précitées, qui caractérisent "notamment" comme une faute le simple fait de n'avoir pas "apporté toute son attention à l'observation des prescriptions" (RO 68 IV 168, c. 1).</w:t>
      </w:r>
    </w:p>
    <w:p>
      <w:r>
        <w:rPr>
          <w:b/>
        </w:rPr>
        <w:t>E. 2</w:t>
      </w:r>
    </w:p>
    <w:p>
      <w:r>
        <w:t>Dans la présente espèce, les éléments objectifs des infractions douanières sont réunis. Seuls leurs éléments subjectifs sont litigieux. A cet égard, le juge cantonal a violé, sur deux points, les principes légaux rappelés ci-dessus. Tout d'abord, en refusant d'admettre l'intention dolosive par le motif qu'elle n'était pas suffisamment établie, il a transgressé la règle selon laquelle, pour les contraventions douanières et le trafic prohibé, la faute pénale se présume, sauf à l'inculpé de fournir la preuve libératoire. De plus, en ne considérant que le dol, il a ignoré que ces infractions sont aussi punissables en cas de simple négligence. Il est donc nécessaire de lui renvoyer la cause pour qu'il recherche si Hofstetter a fourni la preuve libératoire, renversant ainsi la présomption légale de dol et, le cas échéant, de négligence. Ce faisant, le juge considérera que BGE 81 IV 57 S. 60 si, en matière fiscale, l'autorité enquête d'office et ne peut dès lors, dans ses actes d'instruction, ignorer tout à fait les éléments subjectifs des infractions relevées (v., sur ce point, KIRCHHOFER: Probleme des Zollstrafrechtes, Revue pénale suisse, 1934, pp. 163 s.), l'application de ce principe général ne saurait néanmoins déplacer le fardeau de la preuve établi par une prescription spéciale de la loi.</w:t>
      </w:r>
    </w:p>
    <w:p>
      <w:r>
        <w:rPr>
          <w:b/>
        </w:rPr>
        <w:t>E. 3</w:t>
      </w:r>
    </w:p>
    <w:p>
      <w:r>
        <w:t>Touchant la soustraction de l'impôt sur le chiffre d'affaires, la situation est identique. Seuls les éléments subjectifs de l'infraction sont litigieux. Le juge cantonal a libéré Hofstetter, la preuve du dol n'étant pas fournie; il n'a pas examiné la question de la négligence. Or, l'art. 52 al. 1 dernière phrase AChA est libellé dans des termes identiques à ceux des art. 75 al. 3 et 77 al. 4 LD et les mêmes principes en découlent à l'égard de la faute pénale et de sa preuve. L'arrêt attaqué viole donc le droit fédéral de la même façon s'agissant de soustraction de l'impôt sur le chiffre d'affaires et d'infractions douanières. Sur le premier de ces chefs aussi, par conséquent, il doit être renvoyé au juge cantonal par les mêmes motifs mutatis mutandis.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