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42</w:t>
      </w:r>
    </w:p>
    <w:p>
      <w:r>
        <w:t>Bundesgericht (BGE), 1955-01-01, DE</w:t>
      </w:r>
    </w:p>
    <w:p>
      <w:r>
        <w:rPr>
          <w:b/>
        </w:rPr>
        <w:t xml:space="preserve">Quelle: </w:t>
      </w:r>
      <w:r>
        <w:t>https://mcp.opencaselaw.ch/entscheid/bge_BGE_81_IV_42</w:t>
      </w:r>
    </w:p>
    <w:p>
      <w:r>
        <w:t>FR: ATF 81 IV 42</w:t>
      </w:r>
    </w:p>
    <w:p>
      <w:r>
        <w:t>IT: DTF 81 IV 42</w:t>
      </w:r>
    </w:p>
    <w:p>
      <w:pPr>
        <w:pStyle w:val="Heading2"/>
      </w:pPr>
      <w:r>
        <w:t>Regeste</w:t>
      </w:r>
    </w:p>
    <w:p>
      <w:r>
        <w:t>Regeste Art. 11, 345, 365, 397 StGB. a) Ob die Revisionsinstanz die Erheblichkeit neuer Tatsachen für die Strafzumessung selber prüfen kann oder diesen Entscheid dem Sachrichter im wiederaufzunehmenden Verfahren vorzubehalten hat, bestimmt das kantonale Recht. b) Eine durch Revisionsgesuch aufgedeckte Verminderung der Zurechnungsfähigkeit führt nicht notwendigerweise zur Herabsetzung der ausgefällten Strafe.</w:t>
      </w:r>
    </w:p>
    <w:p>
      <w:r>
        <w:t>Regeste Art. 11, 345, 365, 397 CP. a) Il appartient au droit cantonal de déterminer si la juridiction de revision peut examiner elle-même l'importance de faits nouveaux pour la fixation de la peine ou si elle doit laisser au juge du fond le soin de prendre cette décision dans le procès qui doit être repris. b) Une diminution de la responsabilité pénale découverte à la suite d'une requête de revision ne conduit pas nécessairement à une réduct ion de la peine prononcée.</w:t>
      </w:r>
    </w:p>
    <w:p>
      <w:r>
        <w:t>Regesto Art. 11, 345, 365, 397 CP. a) Spetta al diritto cantonale stabilire se la giurisdizione di revisione può esaminare essa stessa la rilevanza di nuovi fatti per la commisurazione della pena o se deve lasciare tale compito al giudice del merito nel procedimento di revisione. b) L'accertamento in sede di revisione di una responsabilità scemata non ha necessariamente per effetto di ridurre la pena pronunciata.</w:t>
      </w:r>
    </w:p>
    <w:p>
      <w:pPr>
        <w:pStyle w:val="Heading2"/>
      </w:pPr>
      <w:r>
        <w:t>Erwägungen</w:t>
      </w:r>
    </w:p>
    <w:p>
      <w:r>
        <w:rPr>
          <w:b/>
        </w:rPr>
        <w:t>E. 1</w:t>
      </w:r>
    </w:p>
    <w:p>
      <w:r>
        <w:t>Art. 397 StGB gebietet die Wiederaufnahme des Strafverfahrens zugunsten eines in Anwendung eidgenössischen Rechts Verurteilten, wenn erhebliche Tatsachen, die dem Gerichte zur Zeit des früheren Verfahrens nicht bekannt waren, glaubhaft gemacht werden ( BGE 73 IV 44 , BGE 77 IV 214 , BGE 78 IV 55 ), oder wenn zum Nachweis erheblicher Tatsachen, die bereits im früheren Verfahren geltend gemacht worden sind, erhebliche neue Beweismittel beigebracht werden.</w:t>
      </w:r>
    </w:p>
    <w:p>
      <w:r>
        <w:rPr>
          <w:b/>
        </w:rPr>
        <w:t>E. 2</w:t>
      </w:r>
    </w:p>
    <w:p>
      <w:r>
        <w:t>Das vom Beschwerdeführer eingelegte Gutachten ist nicht neues Beweismittel zu Tatsachen, die bereits im BGE 81 IV 42 S. 45 Verfahren vor dem Bezirksgericht Affoltern und der II. Strafkammer des Obergerichtes behauptet worden wären; denn abgesehen davon, dass das Bundesgericht in Gutachten überhaupt nicht neue Beweismittel zu früher angerufenen Tatsachen sieht ( BGE 76 IV 37 , BGE 78 IV 56 ), hatte der Beschwerdeführer vor den erwähnten Gerichten nicht geltend gemacht, er habe die Tat im Zustande verminderter Zurechnungsfähigkeit begangen.</w:t>
      </w:r>
    </w:p>
    <w:p>
      <w:r>
        <w:rPr>
          <w:b/>
        </w:rPr>
        <w:t>E. 3</w:t>
      </w:r>
    </w:p>
    <w:p>
      <w:r>
        <w:t>Ob das Gutachten neue Tatsachen aufdecke oder zum mindestens glaubhaft mache, die auf Verminderung der Zurechnungsfähigkeit hinweisen würden, kann dahingestellt bleiben. Auch wenn das zutreffen sollte, verstösst die Abweisung des Wiederaufnahmegesuches nicht gegen eidgenössisches Recht. Denn "erheblich" im Sinne des Art. 397 StGB wären die angeblichen Tatsachen nur, wenn sie zu einer bedeutend milderen Bestrafung des Beschwerdeführers führen könnten ( BGE 69 IV 139 Erw. 6). Das verneint das Obergericht mit einer Begründung, die nicht gegen Bundesrecht verstösst. Indem es ausführt, die von der II. Strafkammer ausgefällten fünf Monate Gefängnis wären mit Rücksicht auf den Rückfall auch bei leichter Verminderung der Zurechnungsfähigkeit des Beschwerdeführers immer noch angemessen, will es sagen, dass die Wiederaufnahme des Verfahrens nicht zu einer Herabsetzung der Strafe führen würde. Ob es diese Würdigung des Verschuldens und der Angemessenheit der Strafe vorausnehmen durfte oder der II. Strafkammer zu überlassen hatte, die im Falle der Wiederaufnahme des Verfahrens das neue Sachurteil zu fällen hätte, ist eine Frage des kantonalen Rechts. Art. 397 StGB verbietet nicht, dass der über das Wiederaufnahmegesuch entscheidende Richter eine Frage vorweg beurteile, die normalerweise in das Erkenntnisgebiet des Sachrichters im wiederaufgenommenen Verfahren fallen würde. Denn diese Bestimmung greift in den Grundsatz, dass die Organisation der Gerichte und des gerichtlichen Verfahrens, also auch die Ordnung der sachlichen Zuständigkeit den Kantonen zukommt ( Art. 64 bis Abs. 2 BGE 81 IV 42 S. 46 BV , Art. 345, 365 StGB ), nicht ein. Ob das Obergericht sich an die vom kantonalen Recht gewollte Zuständigkeitsordnung gehalten oder durch Beurteilung der erwähnten Vorfrage, wie der Beschwerdeführer behauptet, gegen eine entgegenstehende Praxis des Zürcher Kassationsgerichts verstossen habe, hat das Bundesgericht auf Nichtigkeitsbeschwerde hin nicht zu beurteilen, da mit diesem Rechtsmittel nur die Verletzung eidgenössischen Rechts gerügt werden kann (Art. 269 Abs. 1, 273 Abs. 1 lit. b BStP). Bundesrecht ist auch nicht deshalb verletzt, weil Art. 11 StGB die Milderung der Strafe vorschreibt, wenn der Täter die Tat im Zustande verminderter Zurechnungsfähigkeit begangen hat. Das heisst nur, dass Verminderung der Zurechnungsfähigkeit überhaupt das Verschulden mindere und im Strafmass - innerhalb des angedrohten ordentlichen Strafrahmens oder durch Übergang zu einer milderen Strafart ( BGE 71 IV 69 ) - zugunsten des Angeklagten berücksichtigt werden müsse'nicht auch, dass der Richter, der dieses Verschulden wägt und sich über die Angemessenheit der Strafe ausspricht, die von einem anderen Richter in der gleichen Sache geäusserte Auffassung als verbindlichen Ausgangspunkt für die Milderung zu nehmen habe. So verlangt Art. 11 StGB z.B. nicht, dass ein Appellationsgericht die vom erstinstanzlichen Richter ausgefällte Strafe herabsetze, wenn die Verminderung der Zurechnungsfähigkeit erst im Appellationsverfahren aufgedeckt wird (vgl. BGE 80 IV 158 ). Etwas anderes gilt auch nicht im Falle der Wiederaufnahme eines durch rechtskräftiges Urteil abgeschlossenen Verfahrens. Der Sachrichter im wiederaufgenommenen Verfahren ist von Bundesrechts wegen frei, trotz Annahme verminderter Zurechnungsfähigkeit den Täter gleich streng zu bestrafen, wie es im ersten Urteil geschehen ist, und daher braucht auch der über das Wiederaufnahmegesuch entscheidende Richter nicht notwendigerweise von Bundesrechts wegen vorauszusetzen, dass der Sachrichter wegen BGE 81 IV 42 S. 47 der neu aufgedeckten Verminderung der Zurechnungs fähigkeit die früher ausgefällte Strafe herabsetzen würde. Hält er diese nach wie vor für gerecht, so verletzt er eidgenössisches Recht nur dann, wenn sie, unter Mit berücksichtigung der Verminderung der Zurechnungsfähigkeit, aus dem Rahmen des Ermessens fällt, in das der Kassationshof nach ständiger Rechtsprechung (vgl. BGE 68 IV 21 , BGE 78 IV 72 ) nicht einzugreifen hat. Davon kann hier keine Rede sein. Der Beschwerdeführer macht das auch gar nicht geltend. Dispositiv Demnach erkennt der Kassationshof: Die Nichtigkeitsbeschwerde wird abgewiesen,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