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325</w:t>
      </w:r>
    </w:p>
    <w:p>
      <w:r>
        <w:t>Bundesgericht (BGE), 1955-01-01, DE</w:t>
      </w:r>
    </w:p>
    <w:p>
      <w:r>
        <w:rPr>
          <w:b/>
        </w:rPr>
        <w:t xml:space="preserve">Quelle: </w:t>
      </w:r>
      <w:r>
        <w:t>https://mcp.opencaselaw.ch/entscheid/bge_BGE_81_IV_325</w:t>
      </w:r>
    </w:p>
    <w:p>
      <w:r>
        <w:t>FR: ATF 81 IV 325</w:t>
      </w:r>
    </w:p>
    <w:p>
      <w:r>
        <w:t>IT: DTF 81 IV 325</w:t>
      </w:r>
    </w:p>
    <w:p>
      <w:pPr>
        <w:pStyle w:val="Heading2"/>
      </w:pPr>
      <w:r>
        <w:t>Regeste</w:t>
      </w:r>
    </w:p>
    <w:p>
      <w:r>
        <w:t>Regeste Verhältnis der Art. 286 und 292 StGB zu den Bestimmungen über den Ungehorsam im Betreibungs- und Konkursverfahren (Art. 323 und 324 StGB).</w:t>
      </w:r>
    </w:p>
    <w:p>
      <w:r>
        <w:t>Regeste Rapport entre les art. 286 et 292 CP, d'une part, et les dispositions relatives à l'inobservation des règles de la procédure de poursuite pour dette et de faillite, d'autre part (art. 323 et 324 CP).</w:t>
      </w:r>
    </w:p>
    <w:p>
      <w:r>
        <w:t>Regesto Rapporto tra gli art. 286 e 292 CP, da una parte, e i disposti relativi all'inosservanza delle norme della procedura di esecuzione e fallimenti, dall'altra (art. 323 e 324 CP).</w:t>
      </w:r>
    </w:p>
    <w:p>
      <w:pPr>
        <w:pStyle w:val="Heading2"/>
      </w:pPr>
      <w:r>
        <w:t>Erwägungen</w:t>
      </w:r>
    </w:p>
    <w:p>
      <w:r>
        <w:rPr>
          <w:b/>
        </w:rPr>
        <w:t>E. 1</w:t>
      </w:r>
    </w:p>
    <w:p>
      <w:r>
        <w:t>Es ist in erster Linie zu prüfen, in welchem Verhältnis der Tatbestand der Hinderung einer Amtshandlung gemäss Art. 286 StGB zu den Bestimmungen über den Ungehorsam im Betreibungs- und Konkursverfahren, BGE 81 IV 325 S. 327 Art. 323 und 324 StGB , steht. Soweit es sich um Ungehorsam handelt, der sich in einem passiven Verhalten erschöpft, ist die Anwendbarkeit von Art. 286 im Betreibungs- und Konkursverfahren zu verneinen. Die im Titel "Übertretungen bundesrechtlicher Bestimmungen" enthaltenen Art. 323 und 324 StGB lassen diesen Tatbeständen eine eingehende Regelung zukommen. Nach Art. 323 Ziff. 1 StGB wird mit Haft bis zu 14 Tagen oder Busse bestraft der Schuldner, der einer ihm ordnungsgemäss angekündigten Pfändung oder Aufnahme eines Güterverzeichnisses weder selber beiwohnt, noch sich dabei vertreten lässt, ebenso der Schuldner, der bei der Pfändung, der Aufnahme eines Güterverzeichnisses oder im Konkurs seine Vermögensgegenstände, Rechte und Forderungen nicht angibt (Art. 323 Ziff. 2 bis 4), ferner der Gemeinschuldner, der während des Konkursverfahrens nicht zur Verfügung der Konkursverwaltung steht (Art. 323 Ziff. 5). In Art. 324 StGB wird der Ungehorsam von Drittpersonen im Betreibungs- und Konkursverfahren in verschiedenen Fällen mit Strafe bedroht. Aus der eingehenden Regelung des einfachen Ungehorsams im Betreibungs- und Konkursverfahren in den Art. 323 und 324 StGB muss der Schluss gezogen werden, dass diese Bestimmungen ein geschlossenes System von Normen für diese Art von Tatbeständen bilden. Auch die Marginalien der Art. 323 und 324 StGB "Ungehorsam des Schuldners im Betreibungs- und Konkursverfahren" und "Ungehorsam dritter Personen im Betreibungs- und Konkursverfahren" sprechen dafür, dass der einfache Ungehorsam im Betreibungs- und Konkursverfahren durch diese Bestimmungen nach allen Richtungen hin geordnet werden sollte. Schliesslich sprechen auch die angedrohten Strafen für diese Auslegung. Es wäre nicht verständlich, wenn ein Schuldner, der bei der Pfändung nicht anwesend ist, oder der Gemeinschuldner, welcher sich nicht zur Verfügung der Konkursverwaltung hält, mit Busse oder Haft bis zu 14 Tagen bestraft würde, während ein Schuldner, welcher der Wegnahme gepfändeter Gegenstände fernbleibt BGE 81 IV 325 S. 328 und somit einen praktisch gleichartigen Ungehorsamstatbestand erfüllt, wegen Hinderung einer Amtshandlung gemäss Art. 286 StGB wesentlich schärfer, mit Gefängnis bis zu einem Monat, bestraft werden könnte.</w:t>
      </w:r>
    </w:p>
    <w:p>
      <w:r>
        <w:rPr>
          <w:b/>
        </w:rPr>
        <w:t>E. 2</w:t>
      </w:r>
    </w:p>
    <w:p>
      <w:r>
        <w:t>Da der rein passive Ungehorsam im Betreibungs- und Konkursverfahren in den Art. 323 und 324 StGB geregelt ist, können allfällige Lücken in diesem System nicht durch Heranziehung der Vorschrift über die Hinderung einer Amtshandlung ausgefüllt werden. Hier bleibt einzig der allgemeine Ungehorsamstatbestand gegen amtliche Verfügungen, Art. 292 StGB , vorbehalten, gemäss dem Wortlaut der Bestimmung allerdings nur, wenn in der amtlichen Verfügung dem Betroffenen für den Fall des Ungehorsams die in Art. 292 StGB vorgesehenen Strafen ausdrücklich angedroht werden. Dass Art. 292 StGB auch im Betreibungs- und Konkursverfahren anwendbar ist, hat das Bundesgericht bereits in BGE 70 IV 179 f. entschieden.</w:t>
      </w:r>
    </w:p>
    <w:p>
      <w:r>
        <w:rPr>
          <w:b/>
        </w:rPr>
        <w:t>E. 3</w:t>
      </w:r>
    </w:p>
    <w:p>
      <w:r>
        <w:t>Das Verhalten des Beschwerdegegners war ein rein passives. Er hat die Wegnahme der gepfändeten Gegenstände dadurch verhindert, dass er am angekündigten Zeitpunkt bei abgeschlossener Wohnung der Wegnahme fernblieb und später die Auskunft über den Verbleib der gepfändeten Gegenstände verweigerte. Er kann daher nicht wegen Hinderung einer Amtshandlung bestraft werden. In dem vom Kassationshof am 24. Juni 1955 beurteilten Falle Magnin war demgegenüber Art. 286 zur Anwendung gelangt, weil nicht lediglich passive Renitenz vorlag, sondern die Vornahme von Betreibungshandlungen durch aktiven Widerstand verhindert wurde. Die Befürchtung der Staatsanwaltschaft, dass durch diese Rechtslage die ordnungsgemässe Durchführung des Betreibungsverfahrens in Frage gestellt werde, ist nicht begründet. Den Betreibungsbehörden steht frei, gleichzeitig mit der Ankündigung der Wegnahme gepfändeter Gegenstände (allfällig formularmässig) die Verfügung zu erlassen, dass der Schuldner persönlich anwesend zu sein habe oder dafür BGE 81 IV 325 S. 329 sorgen müsse, dass die Wegnahme auch in seiner Abwesenheit erfolgen könne, und an diese Verfügung die Strafandrohung gemäss Art. 292 StGB zu knüpfen.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