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315</w:t>
      </w:r>
    </w:p>
    <w:p>
      <w:r>
        <w:t>Bundesgericht (BGE), 1955-01-01, DE</w:t>
      </w:r>
    </w:p>
    <w:p>
      <w:r>
        <w:rPr>
          <w:b/>
        </w:rPr>
        <w:t xml:space="preserve">Quelle: </w:t>
      </w:r>
      <w:r>
        <w:t>https://mcp.opencaselaw.ch/entscheid/bge_BGE_81_IV_315</w:t>
      </w:r>
    </w:p>
    <w:p>
      <w:r>
        <w:t>FR: ATF 81 IV 315</w:t>
      </w:r>
    </w:p>
    <w:p>
      <w:r>
        <w:t>IT: DTF 81 IV 315</w:t>
      </w:r>
    </w:p>
    <w:p>
      <w:pPr>
        <w:pStyle w:val="Heading2"/>
      </w:pPr>
      <w:r>
        <w:t>Regeste</w:t>
      </w:r>
    </w:p>
    <w:p>
      <w:r>
        <w:t>Regeste Art. 2 Abs. 1, 29, 30 Abs. 2, 46 Abs. 1 Ziff. 7 BG betr. die eidg. Oberaufsicht über die Forstpolizei vom 11. Oktober 1902 (FPolG). 1. Auch Nichtschutzwaldungen unterstehen der Oberaufsicht des Bundes (Erw. 1). 2. Begriff der Hochwaldung (Erw. 2). 3. Art. 46 Abs. 1 Ziff. 7 FPolG ist auch auf Abholzungen (hier Kahlschlag) in Nichtschutzwaldungen anzuwenden (Erw. 4).</w:t>
      </w:r>
    </w:p>
    <w:p>
      <w:r>
        <w:t>Regeste Art. 2 al. 1, 29, 30 al. 2, 46 al. 1 ch. 7 de la loi fédérale du 11 octobre 1902 sur la police des forêts. 1. Les forêts non protectrices sont aussi soumises à la surveillance de la Confédération (consid. 1). 2. Définition de la futaie (consid. 2). 3. L'art. 46 al. 1 ch. 7 de la loi du 11 octobre 1902 s'applique aussi aux coupes (i. c. coupe rase) dans les forêts non protectrices (consid. 4).</w:t>
      </w:r>
    </w:p>
    <w:p>
      <w:r>
        <w:t>Regesto Art. 2 cp. 1, 29, 30 cp. 2, 46 cp. 1 cifra 7 della legge federale 11 ottobre 1902 concernente l'alta vigilanza della Confederazione sulla polizia delle foreste. 1. Anche le foreste non protettrici sono soggette all'alta vigilanza della Confederazione (consid. 1). 2. Definizione di foresta ad alto fusto (consid. 2). 3. L'art. 46 cp. 1 cifra 7 della legge 11 ottobre 1902 è parimente applicabile ai tagli (qui taglio raso) nelle foreste non protettrici (consid. 4).</w:t>
      </w:r>
    </w:p>
    <w:p>
      <w:pPr>
        <w:pStyle w:val="Heading2"/>
      </w:pPr>
      <w:r>
        <w:t>Erwägungen</w:t>
      </w:r>
    </w:p>
    <w:p>
      <w:r>
        <w:rPr>
          <w:b/>
        </w:rPr>
        <w:t>E. 1</w:t>
      </w:r>
    </w:p>
    <w:p>
      <w:r>
        <w:t>Nach Art. 2 Abs. 1 des Forstpolizeigesetzes (FPolG) sind sämtliche Waldungen der Oberaufsicht des Bundes unterstellt, und zwar öffentliche wie private Waldungen (Abs. 2), unabhängig davon, ob es sich um Schutzwaldungen oder Nichtschutzwaldungen ( Art. 3 und 4 FPolG ) handelt. Dass die Waldung des Beschwerdeführers im Nichtschutzwaldgebiet liegt, wird von der Vorinstanz selber angenommen, ist also unbestritten. Art. 30 zählt die Vorschriften des Gesetzes auf, die auf die privaten Nichtschutzwaldungen Anwendung finden (Absatz 1) und bestimmt (Abs. 2 und 3) ferner: "Kahlschläge und Holznutzungen, die in ihren Wirkungen Kahlschlägen nahekommen, sind in Hochwaldungen nur mit Bewilligung der zuständigen kantonalen Instanzen gestattet. Die Kantone erlassen die nötigen Ausführungsbestimmungen."</w:t>
      </w:r>
    </w:p>
    <w:p>
      <w:r>
        <w:rPr>
          <w:b/>
        </w:rPr>
        <w:t>E. 2</w:t>
      </w:r>
    </w:p>
    <w:p>
      <w:r>
        <w:t>Der Beschwerdeführer bestreitet, dass sein Wald "Hochwald" im Sinne des Gesetzes sei, denn "Inwil liegt im flachsten Mittelland". Der Einwand geht fehl. Nicht Standort oder Höhenlage (Hochland, Gebirge) geben der Hochwaldung nach forstwirtschaftlichem Sprachgebrauch ihre Bezeichnung. Wie dieser versteht das Forstpolizeigesetz sowohl in Art. 29 wie in Art. 30 Abs. 2 unter dem Begriff der "Hochwaldungen "("futaies", "foreste ad alto fusto"), was durch den französischen und italienischen Gesetzestext BGE 81 IV 315 S. 317 eindeutig bestätigt wird, eine bestimmte forstwirtschaftliche Betriebsart (Waldbestandesform), nämlich jene (auf den Wuchs hochstämmiger Bäume gerichtete) Waldungen, deren Baumbestände sich aus Samen entwickelt haben (Kernwüchse) und sich aus Samen verjüngen, sei es in natürlicher Verjüngung durch Besamung von Altholz her oder auf "künstliche" Weise durch Waldanbau mittels Aussaat von Samen oder Pflanzung von aus Samen erzogenen Jungbäumen. Den Gegensatz hiezu bildet der Niederwald, der vorwiegend auf der Fähigkeit des Laubholzes beruht, nach dem Abhieb aus Stöcken und Wurzeln Ausschläge zu entwickeln und damit einen neuen Bestand zu bilden (vgl. "Die forstlichen Verhältnisse der Schweiz", herausgegeben vom Schweizerischen Forstverein 1925 S. 97 ff. sowie Anhang S. 22 unter dem Stichwort "Hochwald"; ferner Handbuch der schweizerischen Volkswirtschaft, Ausgabe 1955 Bd. I S. 478 /79). Kein Zweifel kann darüber bestehen, dass Fichten- und Tannenwald, wie er hier in Frage steht, als Hochwaldung zu gelten hat.</w:t>
      </w:r>
    </w:p>
    <w:p>
      <w:r>
        <w:rPr>
          <w:b/>
        </w:rPr>
        <w:t>E. 3</w:t>
      </w:r>
    </w:p>
    <w:p>
      <w:r>
        <w:t>Dem Entscheid der Vorinstanz liegt die für den Kassationshof verbindliche tatsächliche Feststellung zu Grunde, dass durch die massive Abholzung stellenweiser Kahlschlag, der sich schädlich auf Boden und Nachbarbestände auswirkt, erfolgte und auf eine Fläche von zehn Aren Jungwuchs vernichtet wurde. Danach kann aber nicht die Rede davon sein, und der Beschwerdeführer behauptet dies mit Recht auch nicht, dass die Vorinstanz den Begriff des Kahlschlages oder der in ihrer Wirkung einem Kahlschlag nahe kommenden Holznutzung verkannt habe. Der unbefugte Holzschlag stellt eine Widerhandlung gegen Art. 30 Abs. 2 FPolG dar.</w:t>
      </w:r>
    </w:p>
    <w:p>
      <w:r>
        <w:rPr>
          <w:b/>
        </w:rPr>
        <w:t>E. 4</w:t>
      </w:r>
    </w:p>
    <w:p>
      <w:r>
        <w:t>Nach Art. 46 Abs. 1 Ziff. 7 FPolG werden verbotene Abholzungen mit Busse von Fr. 5.- bis Fr. 20.- für jeden Festmeter bestraft. Weder Wortlaut noch Sinn des Gesetzes schränken den Anwendungsbereich dieser Bestimmung auf unbefugte Holznutzungen in Schutzwaldungen ein. Kein Grund besteht, die Strafdrohung nicht gleicherweise BGE 81 IV 315 S. 318 auf verbotene Abholzungen in Nichtschutzwaldungen anzuwenden. Sie hier auszuschliessen, würde dem Willen des Gesetzgebers ebenso widersprechen wie beispielsweise die Annahme, die Strafdrohung von Art. 46 Abs. 1 Ziff. 6 oder Ziff. 8 finde auf Widerhandlungen in Nichtschutzwaldgebiet keine Anwendung, trotzdem die Pflicht zur Wiederaufforstung (Art. 32) und das Verbot der Ausreutung (Art. 31) auch für dieses Gebiet besteht. Dass Art. 30 den Art. 46 nicht ausdrücklich erwähnt, heisst nicht, der Gesetzgeber habe davon abgesehen, die Durchsetzung der in Art. 30 enthaltenen Vorschriften strafrechtlich zu sichern. Die Strafbestimmungen des Art. 46 gelten vielmehr allgemein für "Übertretungen gegenwärtigen Gesetzes" und nehmen die in Nichtschutzwaldungen begangenen Widerhandlungen nicht aus.</w:t>
      </w:r>
    </w:p>
    <w:p>
      <w:r>
        <w:rPr>
          <w:b/>
        </w:rPr>
        <w:t>E. 5</w:t>
      </w:r>
    </w:p>
    <w:p>
      <w:r>
        <w:t>Da die verbotene Abholzung unmittelbar den Tatbestand des Art. 30 Abs. 2 FPolG erfüllt, stellt sich die Frage nicht, ob kantonale Ausführungsbestimmungen (Abs. 3) dem in Art. 30 Abs. 2 statuierten Verbot einen weitern, durch die Strafdrohung des Art. 46 Abs. 1 Ziff. 7 ebenfalls geschützten Inhalt geben können, wie dies der Kassationshof in BGE 80 IV 193 ff. für kantonales Recht angenommen hat, das in Ausführung der in Art. 29 FPolG enthaltenen Weisungen Abholzungen in Schutzwaldungen verbietet.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