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81 IV 281</w:t>
      </w:r>
    </w:p>
    <w:p>
      <w:r>
        <w:rPr>
          <w:i/>
        </w:rPr>
        <w:t>Bundesgericht (BGE)</w:t>
      </w:r>
      <w:r>
        <w:rPr>
          <w:i/>
        </w:rPr>
        <w:t xml:space="preserve">  ·  1955-01-01</w:t>
      </w:r>
      <w:r>
        <w:rPr>
          <w:i/>
        </w:rPr>
        <w:t xml:space="preserve">  ·  DE</w:t>
      </w:r>
    </w:p>
    <w:p>
      <w:r>
        <w:rPr>
          <w:b/>
        </w:rPr>
        <w:t xml:space="preserve">Source: </w:t>
      </w:r>
      <w:r>
        <w:t>https://mcp.opencaselaw.ch/entscheid/bge_BGE_81_IV_281</w:t>
      </w:r>
    </w:p>
    <w:p>
      <w:r>
        <w:t>FR: ATF 81 IV 281 · IT: DTF 81 IV 281</w:t>
      </w:r>
    </w:p>
    <w:p>
      <w:pPr>
        <w:pStyle w:val="Heading2"/>
      </w:pPr>
      <w:r>
        <w:t>Regeste</w:t>
      </w:r>
    </w:p>
    <w:p>
      <w:r>
        <w:t>Regeste Art. 173 Ziff. 3 StGB. a) Wer sich auf begründete Veranlassung hin äussert, ist zu den Entlastungsbeweisen der Ziff. 2 auch dann zuzulassen, wenn sich die Äusserung auf das Privatleben bezieht (Erw. 5). b) Begründete Veranlassung (Erw. 4). c) Privatleben (Erw. 5).</w:t>
      </w:r>
    </w:p>
    <w:p>
      <w:r>
        <w:t>Regeste Art. 173 ch. 3 CP. a) Celui qui avait des motifs suffisants de porter une accusation doit être admis à fournir les preuves libératoires selon le ch. 2,même dans le cas où l'accusation avait trait à la vie privée (consid. 5). b) Motifs suffisants (consid. 4). c) Vie privée (consid. 5).</w:t>
      </w:r>
    </w:p>
    <w:p>
      <w:r>
        <w:t>Regesto Art. 173 cifra 3 CP. a) Chi aveva motivi sufficienti per proferire un'imputazione dev'essere ammesso a fornire le prove previste nella cifra 2 anche nel caso in cui l'imputazione si riferisse alla vita privata (consid. 5). b) Motivo sufficiente (consid. 4). c) Vita privata (consid. 5).</w:t>
      </w:r>
    </w:p>
    <w:p>
      <w:pPr>
        <w:pStyle w:val="Heading2"/>
      </w:pPr>
      <w:r>
        <w:t>Erwägungen</w:t>
      </w:r>
    </w:p>
    <w:p>
      <w:r>
        <w:rPr>
          <w:b/>
        </w:rPr>
        <w:t>E. 1</w:t>
      </w:r>
    </w:p>
    <w:p>
      <w:r>
        <w:t>Es ist unbestritten, dass die im Rundschreiben vom 6. Januar 1954 enthaltene Mitteilung, Sidler sei wegen Diebstahls und Veruntreuung von seinem Arbeitgeber entlassen worden, ehrenrührig ist.</w:t>
      </w:r>
    </w:p>
    <w:p>
      <w:r>
        <w:rPr>
          <w:b/>
        </w:rPr>
        <w:t>E. 2</w:t>
      </w:r>
    </w:p>
    <w:p>
      <w:r>
        <w:t>Sidler bestreitet auch nicht, dass die eingeklagte Äusserung der Wahrheit entspricht. Gemäss Art. 173 Ziff. 2 StGB wäre Litschgi daher nur strafbar, wenn er nach Ziff. 3 dieser Vorschrift zum Wahrheitsbeweis nicht zuzulassen wäre.</w:t>
      </w:r>
    </w:p>
    <w:p>
      <w:r>
        <w:rPr>
          <w:b/>
        </w:rPr>
        <w:t>E. 3</w:t>
      </w:r>
    </w:p>
    <w:p>
      <w:r>
        <w:t>Nach der vom Obergericht implicite übernommenen Feststellung des Bezirksgerichts hat Litschgi die eingeklagte Äusserung nicht vorwiegend in der Absicht vorgebracht, Sidler Übles vorzuwerfen. Diese Feststellung ist tatsächlicher Natur ( BGE 71 IV 131 Erw. 4). Sie bindet daher den Kassationshof des Bundesgerichtes ( Art. 277bis Abs. 1 BStP ). Ob es gemäss Art. 173 Ziff. 3 StGB für die Zulassung zu den Entlastungsbeweisen der Ziff. 2 dieser Vorschrift genüge, dass die Absicht, jemandem Übles vorzuwerfen, beim Beschuldigten nicht überwiegt, braucht hier nicht entschieden zu werden, weil Litschgi begründete Veranlassung zu seiner Äusserung hatte.</w:t>
      </w:r>
    </w:p>
    <w:p>
      <w:r>
        <w:rPr>
          <w:b/>
        </w:rPr>
        <w:t>E. 4</w:t>
      </w:r>
    </w:p>
    <w:p>
      <w:r>
        <w:t>Die in der "Vereinigung der Kälte-Firmen in der Schweiz" zusammengeschlossenen Unternehmen installieren in Privat- und Geschäftshäusern Kühlanlagen. Die Monteure dieser Unternehmen arbeiten also regelmässig in den Gebäulichkeiten der Kunden, wo sie nicht dauernd beaufsichtigt werden. Für diese Montagearbeiten können daher nur solche Kräfte eingesetzt werden, auf die sich der Kunde und der Arbeitgeber verlassen können. Missbraucht ein Monteur dieses Vertrauen, so erleidet regelmässig auch der Unternehmer eine Vertrauenseinbusse, die seine Stellung im wirtschaftlichen Wettbewerb beeinträchtigt. BGE 81 IV 281 S. 284 Für die künftigen Arbeitgeber und ihre Kunden ist es demnach unerlässlich, die Vertrauenswürdigkeit eines Bewerbers für den Montagedienst zuverlässig beurteilen zu können. Darum ist er auf Auskünfte Dritter, insbesondere früherer Arbeitgeber des Bewerbers, angewiesen. Diesem schutzwürdigen Bedürfnis diente die eingeklagte -Äusserung. Sidler war vom erwähnten Unternehmen für die Installation von Kühlanlagen entlassen worden, weil er während seiner beruflichen Tätigkeit Diebstähle und Veruntreuungen begangen hatte. Da diese Verfehlungen die charakterliche Eignung des Entlassenen für den Montagedienst ausschliessen, hatte Litschgi begründete Veranlassung, die übrigen Verbandsmitglieder, deren berechtigte Interessen er als Verbandssekretär zu fördern verpflichtet ist, zu orientieren, um sie vor ähnlichen Vertrauensmissbräuchen zu bewahren. Dabei hat er sich auch im Mittel nicht vergriffen. Er hat das Rundschreiben, worin er die Gründe anführte, die zur Entlassung des Sidler am früheren Arbeitsort geführt haben, unmittelbar und ausschliesslich den Verbandsmitgliedern zugestellt und diese erst noch durch einen entsprechenden Vermerk darauf hingewiesen, dass es sich um eine "vertrauliche" Mitteilung handle.</w:t>
      </w:r>
    </w:p>
    <w:p>
      <w:r>
        <w:rPr>
          <w:b/>
        </w:rPr>
        <w:t>E. 5</w:t>
      </w:r>
    </w:p>
    <w:p>
      <w:r>
        <w:t>Der Einwand, Litschgi hätte trotzdem zu den Entlastungsbeweisen nicht zugelassen werden dürfen, weil die eingeklagte Äusserung sich auf das Privatleben beziehe, geht fehl. Gegenstand des Privatlebens bildet nur die eigentliche Privatsphäre. Handlungen, durch die jemand aus dieser heraus an die Aussenwelt tritt, wie das gerade beim Verhalten gegenüber dem Arbeitgeber zutrifft, fallen nicht mehr darunter (Urteile des Kassationshofes vom 21. Juni 1946 i.S. Witschi, vom 22. Oktober 1948 i.S. Herschdorfer und vom 30. September 1949 i.S. Blaser). Zudem übersieht Sidler, dass die Richtigkeit der dem Privatleben angehörenden Tatsachen nur dann nicht bewiesen werden darf, wenn die Äusserung ohne begründete Veranlassung vorgebracht (verbreitet) worden ist. Hat der BGE 81 IV 281 S. 285 Empfänger der Mitteilung ein schutzwürdiges Interesse, über eine dem Privatleben eines andern angehörende Tatsache unterrichtet zu werden, und wird die Auskunft in der Absicht erteilt, diesem Interesse zu dienen, so sind die Entlastungsbeweise des Art. 173 Ziff. 2 StGB zulässig. Dispositiv Demnach erkennt der Kassationshof: Die Nichtigkeitsbeschwerde wird abgewiesen.</w:t>
      </w:r>
    </w:p>
    <w:p/>
    <w:p>
      <w:r>
        <w:rPr>
          <w:i/>
        </w:rPr>
        <w:t>Exported from OpenCaseLaw (CC0). The authoritative text is the decision as published by the issuing court. Verify any quoted passage against the source URL above before relying on it in professional work.</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Calibri" w:hAnsi="Calibri"/>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