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256</w:t>
      </w:r>
    </w:p>
    <w:p>
      <w:r>
        <w:t>Bundesgericht (BGE), 1953-12-30, DE</w:t>
      </w:r>
    </w:p>
    <w:p>
      <w:r>
        <w:rPr>
          <w:b/>
        </w:rPr>
        <w:t xml:space="preserve">Quelle: </w:t>
      </w:r>
      <w:r>
        <w:t>https://mcp.opencaselaw.ch/entscheid/bge_BGE_81_IV_256</w:t>
      </w:r>
    </w:p>
    <w:p>
      <w:r>
        <w:t>FR: ATF 81 IV 256</w:t>
      </w:r>
    </w:p>
    <w:p>
      <w:r>
        <w:t>IT: DTF 81 IV 256</w:t>
      </w:r>
    </w:p>
    <w:p>
      <w:pPr>
        <w:pStyle w:val="Heading2"/>
      </w:pPr>
      <w:r>
        <w:t>Regeste</w:t>
      </w:r>
    </w:p>
    <w:p>
      <w:r>
        <w:t>Regeste Art. 4, 42 Vo. vom 30. Dezember 1953 über die Mietzinskontrolle und die Beschränkung des Kündigungsrechts. Strafbar macht sich schon, wer den Mieter ersucht, mehr als den höchstzulässigen Mietzins zu bezahlen, auch wenn der Mieter sich mit Erfolg widersetzt.</w:t>
      </w:r>
    </w:p>
    <w:p>
      <w:r>
        <w:t>Regeste Art. 4, 42 de l'Ordonnance concernant le contrôle des loyers et la limitation du droit de résiliation, du 30 décembre 1953. Celui qui demande au locataire de payer davantage que le loyer autorisé est punissable, même si le locataire s'oppose avec succès à la hausse sollicitée.</w:t>
      </w:r>
    </w:p>
    <w:p>
      <w:r>
        <w:t>Regesto Art. 4, 42 dell'ordinanza 30 dicembre 1953 concernente il controllo delle pigioni e la limitazione del diritto di disdetta. È già punibile chi domandi al locatario di pagare una pigione superior e a quella massima lecita, quand'anche il locatario si opponga con successo all'aumento richiesto.</w:t>
      </w:r>
    </w:p>
    <w:p>
      <w:pPr>
        <w:pStyle w:val="Heading2"/>
      </w:pPr>
      <w:r>
        <w:t>Erwägungen</w:t>
      </w:r>
    </w:p>
    <w:p>
      <w:r>
        <w:rPr>
          <w:b/>
        </w:rPr>
        <w:t>E. 1</w:t>
      </w:r>
    </w:p>
    <w:p>
      <w:r>
        <w:t>Der Bundesbeschluss vom 10. Juni 1953 über die Durchführung einer beschränkten Preiskontrolle erklärt in Art. 2 "Erhöhungen der am 31. Dezember 1953 geltenden Mietzinse bewilligungspflichtig", setzt in Art. 15 auf die vorsätzliche oder fahrlässige Übertretung des Beschlusses BGE 81 IV 256 S. 260 oder der Ausführungsbestimmungen Busse und weist in Art. 14 Abs. 1 den Bundesrat an, die erforderlichen Ausführungsvorschriften zu erlassen. Diesen Bestimmungen nachkommend, hat der Bundesrat in der Verordnung vom 30. Dezember 1953 über die Mietzinskontrolle und die Beschränkung des Kündigungsrechts untersagt, "die Mietzinse ohne Bewilligung der von den Kantonsregierungen bezeichneten Amtsstellen oder der Rekursinstanz über den am 31. Dezember 1953 höchstzulässigen Stand zu erhöhen" (Art. 4 Abs. 1). Anschliessend daran untersagt die Verordnung "auch alle indirekten Mietzinserhöhungen, die sich wirtschaftlich gegenüber dem Mieter als Erhöhung auswirken; also z.B.: Erhöhung des Entgeltes für Nebenleistungen, wie Wasserzins, allgemeine Beleuchtung usw.; besondere Verrechnung von Nebenleistungen, die bisher im Mietzins inbegriffen waren; Wegnahme eines Zimmers oder einer Mansarde usw." (Art. 4 Abs. 2). Für die vorsätzliche oder fahrlässige Übertretung dieser Bestimmungen droht die Verordnung Busse bis zu zweitausend Franken an (Art. 42 Abs. 1). Handelt der Täter aus Gewinnsucht, so ist der Richter an diesen Höchstbetrag nicht gebunden (Art. 42 Abs. 2).</w:t>
      </w:r>
    </w:p>
    <w:p>
      <w:r>
        <w:rPr>
          <w:b/>
        </w:rPr>
        <w:t>E. 2</w:t>
      </w:r>
    </w:p>
    <w:p>
      <w:r>
        <w:t>Die Beschwerdegegnerin bestreitet nicht, dass sie sich zur Lieferung der normalerweise verbrauchten 816 m3 Wasser verpflichtet hatte und die Vergütung dafür im Mietzins inbegriffen war. Unbestritten ist auch, dass dieser am 31. Dezember 1953 und schon vorher den höchstzulässigen Stand erreichte. Wenn die Mieter die durch die Wasserzinserhöhung der Gemeinde Horgen verursachten Mehrkosten der erwähnten 816 m3 Wasser durch eine besondere Vergütung übernommen hätten, hätte daher im Sinne des Art. 4 Abs. 1 und 2 der Verordnung vom 30. Dezember 1953 der Mietzins "indirekt" den zulässigen Stand überschritten. Ob die Mieter sich das vertraglich hätten gefallen lassen müssen, wie die Beschwerdegegnerin gegenüber der Justizdirektion geltend gemacht hat, aber heute nicht mehr einwendet, kann dahingestellt BGE 81 IV 256 S. 261 bleiben; denn die Verordnung verbietet Mietzinserhöhungen über den vom öffentlichen Recht vorgesehenen Stand auch dann, wenn sie dem Vertrage nicht widersprechen.</w:t>
      </w:r>
    </w:p>
    <w:p>
      <w:r>
        <w:rPr>
          <w:b/>
        </w:rPr>
        <w:t>E. 3</w:t>
      </w:r>
    </w:p>
    <w:p>
      <w:r>
        <w:t>Schon die gestützt auf Bundesratsbeschluss vom 1. September 1939 erlassene Verfügung Nr. 1 des eidgenössischen Volkswirtschaftsdepartements vom 2. September 1939 betreffend die Kosten der Lebenshaltung und den Schutz der regulären Marktversorgung untersagte unter anderem, die Mietzinse (über den Stand vom 31. August 1939) ohne Genehmigung zu "erhöhen". Die kriegswirtschaftlichen Strafgerichte haben diese Bestimmung stets dahin ausgelegt, dass eine Erhöhung schon dann vorliege, wenn der Vermieter einen höheren Mietzins fordert, es also nicht des tatsächlichen Bezuges oder auch nur der Einwilligung des Mieters bedürfe, den geforderten Betrag zu bezahlen (EKSt 3 24; vgl. auch 2 7, 95, 125, 154). An dieser Rechtslage haben der Bundesbeschluss vom 10. Juni 1953 und die Verordnung vom 30. Dezember 1953 nichts geändert. Das ergibt sich insbesondere aus der Botschaft des Bundesrates vom 3. Februar 1953 an die Bundesversammlung über die Durchführung einer beschränkten Preiskontrolle, wo ausgeführt wird, eine Mietzinserhöhung im preiskontrollrechtlichen Sinne (Art. 1 Abs. 2) sei jede gegenüber einem Mieter oder Mietreflektanten in irgendeiner Form zum Ausdruck gebrachte Aufforderung zur Vereinbarung oder Bezahlung eines höheren Mietzinses (BBl 1953 I 295). Mit dieser Auslegung, die von der Beschwerdegegnerin nicht beanstandet wird, stimmt überein, dass Art. 4 Abs. 2 der Verordnung unter anderem auch die "besondere Verrechnung von Nebenleistungen, die bisher im Mietzins inbegriffen waren", untersagt. "Verrechnung" bedeutet hier Rechnungstellung (mise en compte). Dass der Mieter sich ihr unterziehe, wird nicht vorausgesetzt. Vom gleichen Geist beseelt ist Art. 14 der Verordnung, der bestimmt, für Objekte, die am 31. August 1939 nicht oder in anderer Zusammensetzung vermietet waren und BGE 81 IV 256 S. 262 für welche die behördliche Festsetzung eines höchstzulässigen Mietzinses noch nicht erfolgte, dürfe "ein Mietzins nur mit Bewilligung der zuständigen Amtsstelle gefordert oder angenommen werden". Es ist nicht zu ersehen, was den Bundesrat hätte bewegen können, dem Vermieter Strafe schon für das blosse Fordern eines nicht bewilligten Mietzinses anzudrohen, wenn die Mietsache dem Art. 14 untersteht, dagegen nur für das Vereinbaren der Erhöhung in den anderen Fällen. Die Mieter haben es denn auch nötig, sich schon gegen das blosse Verlangen höheren Mietzinses mit den Mitteln einer Stafanzeige wehren zu können; denn wenn sie, dem Begehren nachgebend, in die Erhöhung eingewilligt haben, werden sie es nicht mehr zu tun wagen, weil sie damit auch ihre eigene Strafbarkeit eingestehen müssten. ... Dispositiv Demnach erkennt der Kassationshof: Die Nichtigkeitsbeschwerde wird gutgeheissen, das Urteil des Einzelrichters des Bezirksgerichtes Horgen vom 23. Juni 1955 aufgehoben und die Sache zur Verurteilung der Beschwerdegegnerin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