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IV 191</w:t>
      </w:r>
    </w:p>
    <w:p>
      <w:r>
        <w:t>Bundesgericht (BGE), 1947-04-16, DE</w:t>
      </w:r>
    </w:p>
    <w:p>
      <w:r>
        <w:rPr>
          <w:b/>
        </w:rPr>
        <w:t xml:space="preserve">Quelle: </w:t>
      </w:r>
      <w:r>
        <w:t>https://mcp.opencaselaw.ch/entscheid/bge_BGE_81_IV_191</w:t>
      </w:r>
    </w:p>
    <w:p>
      <w:r>
        <w:t>FR: ATF 81 IV 191</w:t>
      </w:r>
    </w:p>
    <w:p>
      <w:r>
        <w:t>IT: DTF 81 IV 191</w:t>
      </w:r>
    </w:p>
    <w:p>
      <w:pPr>
        <w:pStyle w:val="Heading2"/>
      </w:pPr>
      <w:r>
        <w:t>Regeste</w:t>
      </w:r>
    </w:p>
    <w:p>
      <w:r>
        <w:t>Regeste 1. Art. 1 Abs. 1 AO. Ankündigung vorübergehender besonderer, vom Verkäufer sonst nicht gewährter Vergünstigungen (Erw. 2). 2. Art. 20 StGB. Hat der Täter aus zureichenden Gründen angenommen, er sei zur Tat berechtigt? (Erw. 3).</w:t>
      </w:r>
    </w:p>
    <w:p>
      <w:r>
        <w:t>Regeste 1. Art. 1er al. 1 de l'ordonnance du Conseil fédéral du 16 avril 1947 sur les liquidations et opérations analogues. Annonce d'avantages momentanés que le vendeur n'accorde pas ordinairement (consid. 2). 2. Art. 20 CP. L'auteur avait-il des raisons suffisantes de se croire en droit d'agir? (consid. 3).</w:t>
      </w:r>
    </w:p>
    <w:p>
      <w:r>
        <w:t>Regesto 1. Art. 1 cp. 1 dell'ordinanza 16 aprile 1947 del Consiglio federale su le liquidazioni e operazioni analoghe. Annuncio di speciali vantaggi temporanei di cui i compratori non possono ordinariamente profittare (consid. 2). 2. Art. 20 CP. L'agente ha avuto ragioni sufficienti per credere che l'atto fosse lecito? (consid. 3.)</w:t>
      </w:r>
    </w:p>
    <w:p>
      <w:pPr>
        <w:pStyle w:val="Heading2"/>
      </w:pPr>
      <w:r>
        <w:t>Erwägungen</w:t>
      </w:r>
    </w:p>
    <w:p>
      <w:r>
        <w:rPr>
          <w:b/>
        </w:rPr>
        <w:t>E. 1</w:t>
      </w:r>
    </w:p>
    <w:p>
      <w:r>
        <w:t>Nach Art. 20 Abs. 1 lit. a AO wird mit Busse oder Haft bestraft, wer vorsätzlich eine unter diese Verordnung fallende, nicht bewilligte Verkaufsveranstaltung öffentlich ankündigt oder durchführt oder entgegen der Weisung der zuständigen Behörde nicht einstellt. Unter Verkaufsveranstaltungen versteht diese Bestimmung die in Art. 1 Abs. 1 AO als "Ausverkäufe und ähnliche Veranstaltungen" bezeichneten. Sie sind daselbst BGE 81 IV 191 S. 194 umschrieben als "Veranstaltungen des Detailverkaufes, bei denen dem Käufer durch öffentliche Ankündigung in Aussicht gestellt wird, dass ihm vorübergehend besondere, vom Verkäufer sonst nicht gewährte Vergünstigungen zukommen werden". Art. 2 AO zählt sie auf und erwähnt dabei insbesondere die Totalausverkäufe zur Räumung aller und die Teilausverkäufe zur Räumung bestimmter Warenbestände (Abs. 1 lit. a und b).</w:t>
      </w:r>
    </w:p>
    <w:p>
      <w:r>
        <w:rPr>
          <w:b/>
        </w:rPr>
        <w:t>E. 2</w:t>
      </w:r>
    </w:p>
    <w:p>
      <w:r>
        <w:t>Nicht bestritten ist, dass die vom Beschwerdegegner durchgeführte Veranstaltung eine solche des Detailverkaufes war, wie Art. 1 Abs. 1 AO voraussetzt, und es steht auch fest, dass der Beschwerdegegner sie öffentlich angekündet hat. Fragen kann sich nur, ob er in der Ankündigung in Aussicht gestellt hat, dem Käufer würden vorübergehend besondere, vom Verkäufer sonst nicht gewährte Vergünstigungen zukommen. Diese Frage lässt sich entgegen der Auffassung des Obergerichtes nicht deshalb verneinen, weil aus den Inseraten geschlossen werden kann, der Beschwerdegegner treibe in der Regel nicht mit Waren der angekündeten Art Handel. Die Ausverkaufsordnung sagt nicht, sie gelte nur für Leute, die in der Regel mit Waren der angekündeten Art Handel treiben. Vor allem entgeht ihr nicht, wer inskünftig mit solchen Waren "in der Regel" oder sogar überhaupt nicht mehr handeln will. Das ergibt sich deutlich aus Art. 2 Abs. 1 lit. a und b AO , wonach insbesondere gerade der unter die Verordnung fällt, der den Verkauf durchführt, weil er sein Geschäft oder einzelne Warengattungen oder Verkaufsabteilungen aufgeben will. Der Verordnung entgeht aber auch nicht, wer bisher noch nie oder nur gelegentlich Waren der angekündeten Art verkauft hat. Gegenteiliges lässt sich nicht daraus schliessen, dass Art. 1 Abs. 1 die Ankündigung besonderer, vom Verkäufer sonst nicht gewährter Vergünstigungen voraussetzt. Damit sind die Vergünstigungen gemeint, die in Zukunft vom Verkäufer nicht mehr eingeräumt werden, sei es, weil er alsdann überhaupt Waren der betreffenden Art nicht mehr verkaufen BGE 81 IV 191 S. 195 will, sei es, weil er die Verkaufsbedingungen zu erschweren beabsichtigt. Ob eine Vergleichung mit bisherigen Bedingungen des Verkäufers möglich ist, kann nicht entscheidend sein, weil die Käufer nicht dadurch angelockt werden, dass ihnen vor Augen geführt wird, sie könnten nun günstiger einkaufen als bisher, sondern dadurch, dass ihnen der Verkäufer vorträgt, sie könnten später nicht mehr so günstig einkaufen wie jetzt. Die Vergleichung mit der Zukunft, nicht mit der Vergangenheit, interessiert den Käufer. Wer Waren bestimmter Art nur einmal absetzt und die Werbung durch Hinweis auf die besonderen Vorteile des Angebotes und dessen vorübergehende Natur betreibt, schädigt denn auch den regulären Handel in gleicher Weise wie der Geschäftsmann, der mit den durch solche Werbemethoden verkauften Waren schon vorher gehandelt hat. Es ist nicht zu ersehen, weshalb jemand, der erstmals Waren bestimmter Art vertreibt, anders sollte vorgehen dürfen als andere Geschäftsleute. Er darf wie jeder den Detailverkauf zwar ankünden und auch seine Preise und sonstigen Verkaufsbedingungen bekanntgeben, aber nicht darauf hinweisen, dass sie besonders günstig seien und nur vorübergehend gewährt würden. Der Beschwerdegegner hat diese Schranken erlaubter Reklame überschritten. Aus der Beschränkung des Angebotes auf "zirka 25 000 Meter" in Verbindung mit der Angabe, dass der Verkauf ab einem bestimmten Tage in der Vorhalle eines bestimmten Hotels stattfinde und der Verkäufer anderswo unter seiner Privatadresse zu erreichen sei, musste der Leser schliessen, dass ein bestimmter Posten Ware liquidiert werde und nachher solche Ware beim Beschwerdegegner nicht mehr zu erhalten sei. Die Inserate betrafen somit, für den Leser erkennbar, eine vorübergehende Kaufsgelegenheit (vgl. BGE 78 IV 124 ). Sie begnügten sich auch nicht damit, die Verkaufsbedingungen bekanntzugeben, sondern wiesen darauf hin, dass diese besonders günstig seien. Das ergibt sich aus der Ankündigung als "interessantes" Angebot, das auch für Wiederverkäufer BGE 81 IV 191 S. 196 sowie für Ploster- und Tapeziergeschäfte "interessant" sei. Damit sagte der Beschwerdegegner nicht lediglich, er verkaufe billig. Vielmehr betonte er im Zusammenhang mit der mengenmässigen Begrenzung des Angebotes die besondere Vergünstigung, die mit der Beendigung des Verkaufes aufhöre (vgl. BGE 78 IV 125 ). Der Tatbestand des Art. 20 Abs. 1 lit. a AO ist daher objektiv erfüllt; denn eine Bewilligung der Behörde zur Durchführung des Verkaufes hatte der Beschwerdegegner nicht eingeholt.</w:t>
      </w:r>
    </w:p>
    <w:p>
      <w:r>
        <w:rPr>
          <w:b/>
        </w:rPr>
        <w:t>E. 3</w:t>
      </w:r>
    </w:p>
    <w:p>
      <w:r>
        <w:t>Der Beschwerdegegner bestreitet nicht, dass er das Inserat bewusst und gewollt, insbesondere in Kenntnis seines Inhaltes, abgefasst und veröffentlicht und dass er um das Fehlen einer behördlichen Bewilligung zur Durchführung des angekündeten Verkaufes gewusst hat. Er hat somit die Ausverkaufsordnung vorsätzlich, nicht, wie er geltend macht, lediglich fahrlässig übertreten. Der angebliche gute Glaube, die Veranstaltung unterliege der Verordnung nicht, schloss keine irrige Vorstellung über den Sachverhalt ( Art. 19 StGB ) in sich, die den Vorsatz ausgeschlossen hätte. Dem Beschwerdegegner kommt auch nicht Rechtsirrtum im Sinne des Art. 20 StGB zugute. Diese Bestimmung ist nicht schon anwendbar, wenn der Täter Gründe hatte, die Tat nicht für strafbar zu halten, sondern nur dann, wenn sie die Annahme, er tue überhaupt kein Unrecht, zu entschuldigen vermögen ( BGE 78 IV 181 mit Zitaten). Das Gefühl, kein Unrecht zu tun, fehlte indessen dem Beschwerdegegner, hat er doch am 8. Mai 1954 vor dem Statthalteramt ausgesagt, er habe sich weder bei dieser Behörde noch bei der Kantonspolizei über die Zulässigkeit der Veranstaltung erkundigt, weil er nach seinen Erfahrungen doch die Antwort erhalten hätte, sie dürfe nicht stattfinden. Da er die Erkundigung unterlassen hat, könnte übrigens auch nicht gesagt werden, der behauptete Irrtum habe auf zureichenden Gründen beruht. BGE 81 IV 191 S. 197 Dispositiv Demnach erkennt der Kassationshof: Die Nichtigkeitsbeschwerde wird gutgeheissen, das Urteil der I. Strafkammer des Obergerichts des Kantons Zürich vom 18. Oktober 1954 aufgehoben und die Sache zur Neubeurteilung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