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181</w:t>
      </w:r>
    </w:p>
    <w:p>
      <w:r>
        <w:t>Bundesgericht (BGE), 1955-01-01, DE</w:t>
      </w:r>
    </w:p>
    <w:p>
      <w:r>
        <w:rPr>
          <w:b/>
        </w:rPr>
        <w:t xml:space="preserve">Quelle: </w:t>
      </w:r>
      <w:r>
        <w:t>https://mcp.opencaselaw.ch/entscheid/bge_BGE_81_IV_181</w:t>
      </w:r>
    </w:p>
    <w:p>
      <w:r>
        <w:t>FR: ATF 81 IV 181</w:t>
      </w:r>
    </w:p>
    <w:p>
      <w:r>
        <w:t>IT: DTF 81 IV 181</w:t>
      </w:r>
    </w:p>
    <w:p>
      <w:pPr>
        <w:pStyle w:val="Heading2"/>
      </w:pPr>
      <w:r>
        <w:t>Regeste</w:t>
      </w:r>
    </w:p>
    <w:p>
      <w:r>
        <w:t>Regeste 1. Art. 1 lit. a LMG, Art. 2 Abs. 1 Ziff. 3 LMV. Tabak und Tabakerzeugnisse sind Lebensmittel. 2. Art. 19 Abs. 1 LMV. "Eine günstigere gesundheitliche Wirkung" wird einem Lebensmittel nicht nur nachgerühmt, wenn behauptet wird, es vermöge die Gesundheit des Menschen zu verbessern, sondern auch, wenn es als weniger gesundheitsschädlich angcpriesen wird, als andere Erzeugnisse gleicher Gattung von Natur aus sind.</w:t>
      </w:r>
    </w:p>
    <w:p>
      <w:r>
        <w:t>Regeste 1. Art. 1 litt. a LCDA, art. 2 al. 1 ch. 3 OCDA. Le tabac, les cigares et les cigarettes sont des denrées alimentaires. 2. Art. 19 al. 1 OCDA. Il y a indication de "propriétés hygiéniques supérieures" à celles que possède naturellement une denrée alimentaire, non seulement lorsqu'il est prétendu qu'elle peut améliorer la santé de l'homme, mais également lorsqu'elle est présentée comme moins nuisible à la santé que ne le sont d'autres produits de même espèce.</w:t>
      </w:r>
    </w:p>
    <w:p>
      <w:r>
        <w:t>Regesto 1. Art. 1 lett. a della legge sulle derrate alimentari e art. 2 cp. 1 cifra 3 della relativa ordinanza. Il tabacco e i manufatti di tabacco sono derrate alimentari. 2. Art. 19 cp. 1 dell'ordinanza sulle derrate alimentari. Ad un'"efficacia salutare maggiore" di quella posseduta naturalmente da una derrata si allude non soltanto quando si pretende che il prodotto può migliorare la salute dell'uomo, bensì anche quando si presenta il prodotto come meno nocivo di altri della stessa specie.</w:t>
      </w:r>
    </w:p>
    <w:p>
      <w:pPr>
        <w:pStyle w:val="Heading2"/>
      </w:pPr>
      <w:r>
        <w:t>Erwägungen</w:t>
      </w:r>
    </w:p>
    <w:p>
      <w:r>
        <w:rPr>
          <w:b/>
        </w:rPr>
        <w:t>E. 1</w:t>
      </w:r>
    </w:p>
    <w:p>
      <w:r>
        <w:t>Art. 19 Abs. 1 LMV verbietet für Lebensmittel Hinweise irgendwelcher Art auf eine krankheitsheilende oder -verhütende Wirkung, ebenso Hinweise, die auf eine günstigere gesundheitliche Wirkung schliessen lassen, als das betreffende Lebensmittel sie von Natur aus besitzt. Anpreisungen der letzteren Art bedürfen der Bewilligung durch das eidgenössische Gesundheitsamt.</w:t>
      </w:r>
    </w:p>
    <w:p>
      <w:r>
        <w:rPr>
          <w:b/>
        </w:rPr>
        <w:t>E. 2</w:t>
      </w:r>
    </w:p>
    <w:p>
      <w:r>
        <w:t>Lebensmittel im Sinne dieser Bestimmung sind auch Tabak und Tabakerzeugnisse, insbesondere Zigaretten. Das ergibt sich aus Art. 1 lit. a des Bundesgesetzes betreffend den Verkehr mit Lebensmitteln und Gebrauchsgegenständen vom 8. Dezember 1905 (LMG), das den Bundesrat zum Erlass des Art. 19 LMV ermächtigt hat ( Art. 54 LMG ). Art. 1 lit. a LMG versteht unter den Lebensmitteln sowohl die Nahrungs- als auch die Genussmittel. Letztere werden denn auch in Art. 2 Abs. 1 Ziff. 3 unter den von der Verordnung erfassten Lebensmitteln (und Gebrauchsgegenständen) aufgezählt und zusammen mit den Gewürzen umschrieben als "Stoffe und Erzeugnisse, die, meist ohne einen eigentlichen Nährwert zu besitzen, gewissen Nahrungsmitteln zur Geschmackverbesserung oder der anregenden Wirkung wegen zugesetzt oder auch für sich genossen oder dem Organismus sonstwie zugeführt werden". Dass der französische und der italienische Text von Art. 1 lit. a LMG den Begriff des Genussmittels nicht BGE 81 IV 181 S. 184 erwähnen und an seiner Stelle in Art. 2 Abs. 1 Ziff. 3 LMV von "condiments et substances analogues" bzw. "condimenti e sostanze analoghe" sprechen, schliesst die Anwendung des Art. 19 Abs. 1 LMV auf Tabak und Tabakerzeugnisse nicht aus. Diese Waren sind im Abschnitt "B. Bestimmungen für Lebensmittel" der Verordnung ausdrücklich behandelt (Art. 420). Ein Grund, nicht auch den Abschnitt "A. Allgemeine Bestimmungen", zu dem Art. 19 LMV gehört, auf sie anzuwenden, besteht nicht.</w:t>
      </w:r>
    </w:p>
    <w:p>
      <w:r>
        <w:rPr>
          <w:b/>
        </w:rPr>
        <w:t>E. 3</w:t>
      </w:r>
    </w:p>
    <w:p>
      <w:r>
        <w:t>"Eine günstigere gesundheitliche Wirkung" im Sinne des Art. 19 Abs. 1 LMV wird einem Lebensmittel nicht nur dann nachgerühmt, wenn behauptet wird, es vermöge die Gesundheit des Menschen zu verbessern, sondern auch, wenn es als weniger gesundheitsschädlich angepriesen wird, als andere Erzeugnisse gleicher Gattung von Natur aus sind. Art. 19 will im Interesse der Volksgesundheit der Gefahr von Täuschungen vorbeugen. Unter diesem Gesichtspunkt kommt nichts darauf an, ob ein Lebensmittel als gesundheitsfördernd hingestellt oder ob der Erwerber in die Meinung versetzt wird, es sei weniger gesundheitsschädlich. Während in ersterem Falle der Konsument lediglich Gefahr läuft, um die versprochene gesundheitsfördernde Wirkung geprellt zu werden, setzt er sich im letzteren Falle der Gefahr aus, ein gesundheitsschädliches Lebensmittel zu geniessen, das er für unschädlich oder weniger schädlich hält. Hier ist das Schutzbedürfnis besonders gross. Es ist denn auch nicht zu ersehen, weshalb in Art. 19 Abs. 1 die allgemeine, beide Fälle umfassende Wendung "eine günstigere gesundheitliche Wirkung" verwendet wurde, wenn nur die Anpreisung einer dem betreffenden Lebensmittel von Natur aus abgehenden gesundheitsfördernden Wirkung hätte verboten werden wollen. Die Hauptfälle von Hinweisen auf Eigenschaften, die die Gesundheit angeblich heben, nämlich der Hinweis auf krankheitsheilende oder -verhütende Wirkung, ist übrigens im gleichen Absatz noch besonders erwähnt. BGE 81 IV 181 S. 185</w:t>
      </w:r>
    </w:p>
    <w:p>
      <w:r>
        <w:rPr>
          <w:b/>
        </w:rPr>
        <w:t>E. 4</w:t>
      </w:r>
    </w:p>
    <w:p>
      <w:r>
        <w:t>Bei dieser Auslegung des Art. 19 Abs. 1 LMV kommt nichts darauf an, ob das vom Gesundheits- und Wirtschaftsamt der Stadt Zürich beanstandete Inserat den Sinn habe, das Rauchen der Marocaine Filtre sei weniger gesundheitsschädlich, oder vielmehr, es hebe die Gesundheit mehr als das Rauchen anderer Zigaretten. Im einen wie im anderen Falle verstösst das Inserat gegen das Verbot nichtbewilligter Hinweise auf "eine günstigere gesundheitliche Wirkung".</w:t>
      </w:r>
    </w:p>
    <w:p>
      <w:r>
        <w:rPr>
          <w:b/>
        </w:rPr>
        <w:t>E. 5</w:t>
      </w:r>
    </w:p>
    <w:p>
      <w:r>
        <w:t>Der Beschwerdegegner hat nicht bestritten, dass er das Inserat, so wie es lautet, bewusst und gewollt hat erscheinen lassen und sich des Fehlens einer Bewilligung des eidgenössischen Gesundheitsamtes bewusst gewesen ist. Er hat Art. 19 Abs. 1 LMV somit vorsätzlich übertreten. Die der Tat vorausgegangenen Warnungen durch den Lebensmittelinspektor der Stadt Zürich schliessen auch zum vornherein aus, dass der Beschwerdegegner zureichende Gründe gehabt habe, sein Vorgehen für erlaubt zu halten. Die Vorinstanz hat ihn daher zu bestrafen. Dispositiv Demnach erkennt der Kassationshof: Die Nichtigkeitsbeschwerde wird gutgeheissen, das Urteil des Einzelrichters des Bezirksgerichts Zürich vom 29. Oktober 1954 aufgehoben und die Sache zu neuer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