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163</w:t>
      </w:r>
    </w:p>
    <w:p>
      <w:r>
        <w:t>Bundesgericht (BGE), 1955-01-01, DE</w:t>
      </w:r>
    </w:p>
    <w:p>
      <w:r>
        <w:rPr>
          <w:b/>
        </w:rPr>
        <w:t xml:space="preserve">Quelle: </w:t>
      </w:r>
      <w:r>
        <w:t>https://mcp.opencaselaw.ch/entscheid/bge_BGE_81_IV_163</w:t>
      </w:r>
    </w:p>
    <w:p>
      <w:r>
        <w:t>FR: ATF 81 IV 163</w:t>
      </w:r>
    </w:p>
    <w:p>
      <w:r>
        <w:t>IT: DTF 81 IV 163</w:t>
      </w:r>
    </w:p>
    <w:p>
      <w:pPr>
        <w:pStyle w:val="Heading2"/>
      </w:pPr>
      <w:r>
        <w:t>Regeste</w:t>
      </w:r>
    </w:p>
    <w:p>
      <w:r>
        <w:t>Regeste 1. Art. 285, 286 StGB. Blosser Ungehorsam gegenüber einem Landjäger erfüllt diese Bestimmungen nicht (Erw. 2). 2. Art. 335 Ziff. 1 StGB. Kantonale Bestimmungen, die den Ungehorsam gegenüber der Polizei mit Übertretungsstrafe bedrohen, sind zulässig (Erw. 3).</w:t>
      </w:r>
    </w:p>
    <w:p>
      <w:r>
        <w:t>Regeste 1. Art. 285 et 286 CP. La simple insoumission envers un gendarme ne tombe pas sous le coup de ces dispositions (consid. 2). 2. Art. 335 ch. 1 CP. Les cantons ont le pouvoir de punir comme contravention l'insoumission envers la police (consid. 3).</w:t>
      </w:r>
    </w:p>
    <w:p>
      <w:r>
        <w:t>Regesto 1. Art. 285, 286 CP. La semplice disobbedienza all'ordine di un gendarme non è punibile a norma di questi disposti (consid. 2). 2. Art. 335 cifra 1 CP. I cantoni hanno la facoltà di punire come contravvenzione la disobbedienza agli ordini della polizia (consid. 3).</w:t>
      </w:r>
    </w:p>
    <w:p>
      <w:pPr>
        <w:pStyle w:val="Heading2"/>
      </w:pPr>
      <w:r>
        <w:t>Erwägungen</w:t>
      </w:r>
    </w:p>
    <w:p>
      <w:r>
        <w:rPr>
          <w:b/>
        </w:rPr>
        <w:t>E. 2</w:t>
      </w:r>
    </w:p>
    <w:p>
      <w:r>
        <w:t>Der Beschwerdeführer behauptet mit Recht nicht, dass er sich durch sein Verhalten gegenüber Landjäger Läderach gegen Art. 285 oder 286 StGB vergangen habe. Beide Bestimmungen setzen voraus, dass der Täter einen Beamten an einer Handlung hindere, die innerhalb seiner Amtsbefugnisse liegt. Nach Art. 285 geschieht es mit Gewalt oder Drohung, nach Art. 286 ohne diese Mittel. Die innerhalb der Amtsbefugnisse liegende Handlung des Landjägers bestand indessen lediglich darin, dem Beschwerdeführer die Weiterfahrt zu verbieten. An der Aussprechung dieses Verbotes hinderte der Beschwerdeführer den Landjäger nicht, weder gewaltsam, noch durch Drohung, noch sonstwie. Er gab lediglich seinem Willen Ausdruck, dem Verbot nicht zu gehorchen, und missachtete es denn auch, indem er während einer kurzen Abwesenheit des Landjägers wegfuhr. Das war nur Ungehorsam, und solcher erfüllt die erwähnten Bestimmungen nicht ( BGE 69 IV 1 ). Auch Art. 292 StGB , der den Ungehorsam gegen amtliche Verfügungen mit Strafe bedroht, trifft nicht zu, da der Landjäger sein Verbot nicht mit dem Hinweis auf die Strafdrohung dieses Artikels begleitet hat und übrigens auch nicht feststeht, dass er das hätte tun dürfen.</w:t>
      </w:r>
    </w:p>
    <w:p>
      <w:r>
        <w:rPr>
          <w:b/>
        </w:rPr>
        <w:t>E. 3</w:t>
      </w:r>
    </w:p>
    <w:p>
      <w:r>
        <w:t>Art. 335 Ziff. 1 StGB behält den Kantonen die Gesetzgebung über das Übertretungsstrafrecht soweit vor, als es nicht Gegenstand der Bundesgesetzgebung ist (Abs. 1), BGE 81 IV 163 S. 165 und erklärt sie ausserdem befugt, die Übertretung kantonaler Verwaltungs- und Prozessvorschriften mit Strafe zu bedrohen (Abs. 2). Nach der Rechtsprechung des Kassationshofes ( BGE 68 IV 41 , 110, BGE 70 IV 85 , 132, BGE 71 IV 47 ) dürfen die Kantone nicht schon dann eine Handlung zur Übertretung erheben, wenn sie nicht vom eidgenössischen Recht mit Strafe bedroht ist. Die Nichtaufnahme eines Tatbestandes in das Strafgesetzbuch kann bedeuten, dass er überhaupt straflos bleibe, also auch nicht als kantonale Übertretung zu ahnden sei. Diesen Sinn hat das Schweigen des Strafgesetzbuches dann, wenn dieses Gesetz die Angriffe auf ein Rechtsgut durch ein geschlossenes System von Normen regelt. Behandelt es dagegen ein bestimmtes strafrechtliches Gebiet überhaupt nicht, oder stellt es nur einige wenige Tatbestände daraus unter Strafe, um den von Kanton zu Kanton wechselnden Ansichten über die Strafwürdigkeit oder Straflosigkeit einer Handlung Rechnung zu tragen, so bleibt Raum für kantonales Übertretungsstrafrecht. Die eidgenössische Ordnung betreffend die strafbaren Handlungen gegen die öffentliche Gewalt ( Art. 285 ff. StGB ) ist nicht abschliessend. Der Entwurf des Bundesrates sah ausser den "Vergehen gegen die Staatsgewalt" (Art. 255 ff. = StGB Art. 285 ff.) sieben "Übertretungen gegen die Staatsgewalt" vor (Art. 337-343). Sie waren in Bestimmungen umschrieben, die als blosse Aushilfsnormen allfälligen in anderen kantonalen oder eidgenössischen Gesetzen enthaltenen Strafbestimmungen über die Nichtbefolgung amtlicher Anordnungen nachgehen sollten (Botschaft des Bundesrates zum Entwurf S. 74). Die Bundesversammlung erhob drei dieser Tatbestände (Art. 337, 338, 343) zu Vergehen ( Art. 286, 292, 293 StGB ) und strich die anderen vier zusammen mit weiteren Übertretungsnormen "in der Meinung, dass es Sache des kantonalen Polizeistrafrechts sei, hier zum Rechten zu sehen" (StenBull, Sonderausgabe, NatR 506 ff.; vgl. BGE 71 IV BGE 81 IV 163 S. 166 105 f.). Der Wille des eidgenössischen Gesetzgebers, das Feld für kantonales Übertretungsstrafrecht zum Schutze der öffentlichen Gewalt freizugeben, kam damit klar zum Ausdruck. Das gilt insbesondere auch in bezug auf den Tatbestand des Ungehorsams gegen die Polizei, der in Art. 339 des Entwurfes wie folgt umschrieben war: "Wer der Anordnung oder Aufforderung nicht nachkommt, die ein Polizeibeamter innerhalb seiner Befugnisse erlässt, wird mit Haft bis zu acht Tagen oder mit Busse bestraft." Hatte diese Bestimmung im Entwurf neben Art. 337 betreffend die Hinderung einer Amtshandlung und neben Art. 338 betreffend den Ungehorsam gegen amtliche Verfügungen Platz, so verstösst eine entsprechende kantonale Übertretungsnorm weder gegen Art. 286 noch gegen Art. 292 StGB . Der Kassationshof hat übrigens in BGE 69 IV 208 schon entschieden, dass letztere Bestimmung auch in anderer Hinsicht nicht ausschliessliche Geltung beansprucht. Indem das Obergericht den Beschwerdeführer wegen seines Ungehorsams gegenüber Landjäger Läderach in Anwendung der §§ 44 und 52 der bernischen Verordnung über die Strassenpolizei und Strassensignalisation vom 31. Dezember 1940/15. Juli 1949 verurteilte, verletzte es daher das eidgenössische Recht nicht.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