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134</w:t>
      </w:r>
    </w:p>
    <w:p>
      <w:r>
        <w:t>Bundesgericht (BGE), 1954-09-01, DE</w:t>
      </w:r>
    </w:p>
    <w:p>
      <w:r>
        <w:rPr>
          <w:b/>
        </w:rPr>
        <w:t xml:space="preserve">Quelle: </w:t>
      </w:r>
      <w:r>
        <w:t>https://mcp.opencaselaw.ch/entscheid/bge_BGE_81_IV_134</w:t>
      </w:r>
    </w:p>
    <w:p>
      <w:r>
        <w:t>FR: ATF 81 IV 134</w:t>
      </w:r>
    </w:p>
    <w:p>
      <w:r>
        <w:t>IT: DTF 81 IV 134</w:t>
      </w:r>
    </w:p>
    <w:p>
      <w:pPr>
        <w:pStyle w:val="Heading2"/>
      </w:pPr>
      <w:r>
        <w:t>Regeste</w:t>
      </w:r>
    </w:p>
    <w:p>
      <w:r>
        <w:t>Regeste Art. 25 Abs. 1 MFG und 75 MFV. Vorsichtspflicht des Führers, der an einer Strassengabelung oder -kreuzung nach links abbiegt (Erw. 1). Kausalzusammenhang (Erw. 2).</w:t>
      </w:r>
    </w:p>
    <w:p>
      <w:r>
        <w:t>Regeste Art. 25 al. 1 LA et 75 RA. Devoir de prudence du conducteur qui dans une bifurcation ou une croisée de route tourne à gauche (consid. 1). Rapport de causalité (consid. 2).</w:t>
      </w:r>
    </w:p>
    <w:p>
      <w:r>
        <w:t>Regesto Art. 25 cp. 1 LA e art. 75 RLA. Dovere di prudenza del conducente che a una biforcazione o un crocevia volta a sinistra (consid. 1). Nesso causale (consid. 2).</w:t>
      </w:r>
    </w:p>
    <w:p>
      <w:pPr>
        <w:pStyle w:val="Heading2"/>
      </w:pPr>
      <w:r>
        <w:t>Erwägungen</w:t>
      </w:r>
    </w:p>
    <w:p>
      <w:r>
        <w:rPr>
          <w:b/>
        </w:rPr>
        <w:t>E. 1</w:t>
      </w:r>
    </w:p>
    <w:p>
      <w:r>
        <w:t>Der Ansicht der Vorinstanz, dass Rediger keine Verletzung einer Verkehrsvorschrift des MFG zur Last falle, kann nicht beigepflichtet werden. Wohl ist der Fahrer, der nach links in eine öffentliche Seitenstrasse abbiegen will und diese Absicht entsprechend den Vorschriften von Art. 75 MFV ankündigt, grundsätzlich nicht verpflichtet, vor dem Abschwenken nach rückwärts zu schauen ( BGE 76 IV 58 , BGE 78 IV 183 ; nicht publ. Urteil des Kassationshofs vom 11. Dezember 1953 i.S. Benoit). Er hat sein Augenmerk vor allem nach vorne zu richten, um einem allenfalls aus der Gegenrichtung herannahenden BGE 81 IV 134 S. 137 Fahrzeug den Vortritt gewähren zu können. Mit der Möglichkeit, dass ein ihm nachfolgendes Fahrzeug ihn überholen wolle, braucht er nicht zu rechnen; denn Art. 26 Abs. 3 MFG verbietet das Überholen an Kreuzungen, und solchen sind nach ständiger Rechtsprechung, von der abzuweichen kein Anlass besteht, Einmündungen gleichzusetzen ( BGE 79 IV 70 und dort erwähnte Entscheide). Diese Ordnung gilt indessen nur dort, wo der abbiegende Fahrer nach den gesamten Umständen der Überzeugung sein darf, dass sein Zeichen wahrgenommen worden ist. An dieser Voraussetzung gebrach es im vorliegenden Fall. Der herrschenden Dunkelheit wegen konnte sich Rediger nicht mit Sicherheit darauf verlassen, dass der ausgestreckte Arm seines Mitfahrers Amstutz von einem nachfolgenden Fahrzeuglenker rechtzeitig bemerkt werde, und tatsächlich hat er nach seinen Aussagen vor der ersten Instanz mit der Möglichkeit gerechnet, dass das Handzeichen allenfalls nicht gesehen werden könnte. Unter diesen Umständen durfte er nicht im Vertrauen auf das Vortrittsrecht, das ihm nach Art. 26 Abs. 3 MFG gegenüber einem von hinten kommenden Fahrzeug zustand, es bei dem Handzeichen bewenden lassen und aufs Geratewohl abbiegen. Er hätte vielmehr unmittelbar vorher, allenfalls nach bereits erfolgter leichter Schrägstellung seines Fahrzeuges, einen Blick nach rückwärts werfen sollen, um sich zu vergewissern, ob von dort keine Gefahr drohe. Hätte er sich so verhalten, dann hätte er das Auto Matzingers, das nach verbindlicher Feststellung der Vorinstanz in diesem Zeitpunkt nur noch ca. 40 m entfernt war, sehen und auf Grund der Erkenntnis, dass jener ihm den Vortritt nicht mehr gewähren könne oder wolle, anhalten müssen. Hiezu war er nach der allgemeinen Vorschrift von Art. 25 Abs. 1 MFG gehalten, die den Fahrzeuglenker überall dort zum Anhalten verpflichtet, wo sein Fahrzeug Anlass zu einem Unfall geben könnte. Nach ständiger Rechtsprechung gilt diese Bestimmung auch für den BGE 81 IV 134 S. 138 Vortrittsberechtigten, der sieht oder bei gehöriger Aufmerksamkeit sehen könnte, dass ihm durch ein selbst vorschriftswidriges Verhalten des andern die Ausübung des Vortrittsrechts verunmöglicht wird ( BGE 77 IV 221 , BGE 79 II 216 und dort erwähnte Entscheide).</w:t>
      </w:r>
    </w:p>
    <w:p>
      <w:r>
        <w:rPr>
          <w:b/>
        </w:rPr>
        <w:t>E. 2</w:t>
      </w:r>
    </w:p>
    <w:p>
      <w:r>
        <w:t>Die schuldhafte Verletzung der nach Art. 25 Abs. 1 MFG gebotenen Sorgfaltspflicht, die dem Beschwerdeführer zur Last fällt, stellt zugleich eine Fahrlässigkeit dar, welche auf Grund von Art. 65 Abs. 4 MFG die von der Vorinstanz ausgesprochene Verurteilung wegen schwerer Körperverletzung rechtfertigt. Damit bleibt kein Raum mehr für die Rüge, die Vorinstanz habe zu Unrecht ein fahrlässiges Verhalten desBeschwerdeführers bejaht, obwohl er keine ausdrückliche Verkehrsvorschrift übertreten habe. Entgegen der Meinung des Beschwerdeführers kann sodann nicht zweifelhaft sein, dass zwischen seinem Verstoss gegen die erwähnte Verkehrsvorschrift und den Verletzungen des Amstutz ein Kausalzusammenhang im Rechtssinn besteht. Sein Verhalten war nach der Erfahrung des Lebens und dem gewöhnlichen Lauf der Dinge geeignet, den tatsächlich eingetretenen Erfolg herbeizuführen ( BGE 73 IV 231 ). Die Missachtung der nach Art. 25 Abs. 1 MFG gebotenen Vorsichtspflicht schloss unter den gegebenen Umständen die hohe Gefahr eines Zusammenstosses in sich. Dass neben dem fehlerhaften Verhalten des Beschwerdeführers auch ein solches des Autolenkers Matzinger zum Unfall beigetragen hat, ist für die Entscheidung der grundsätzlichen Frage nach der rechtserheblichen Kausalität des vom Beschwerdeführer begangenen Verstosses ohne Belang.</w:t>
      </w:r>
    </w:p>
    <w:p>
      <w:r>
        <w:rPr>
          <w:b/>
        </w:rPr>
        <w:t>E. 3</w:t>
      </w:r>
    </w:p>
    <w:p>
      <w:r>
        <w:t>Die Beschwerde Redigers gegen seine Verurteilung ist somit abzuweisen. Ob die gegen ihn ausgefällte Strafe im richtigen Verhältnis zur Bestrafung des Autolenkers Matzinger steht, hat der Kassationshof nicht zu überprüfen. Dispositiv Demnach erkennt der Kassationshof: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