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13</w:t>
      </w:r>
    </w:p>
    <w:p>
      <w:r>
        <w:t>Bundesgericht (BGE), 1955-01-01, DE</w:t>
      </w:r>
    </w:p>
    <w:p>
      <w:r>
        <w:rPr>
          <w:b/>
        </w:rPr>
        <w:t xml:space="preserve">Quelle: </w:t>
      </w:r>
      <w:r>
        <w:t>https://mcp.opencaselaw.ch/entscheid/bge_BGE_81_IV_13</w:t>
      </w:r>
    </w:p>
    <w:p>
      <w:r>
        <w:t>FR: ATF 81 IV 13</w:t>
      </w:r>
    </w:p>
    <w:p>
      <w:r>
        <w:t>IT: DTF 81 IV 13</w:t>
      </w:r>
    </w:p>
    <w:p>
      <w:pPr>
        <w:pStyle w:val="Heading2"/>
      </w:pPr>
      <w:r>
        <w:t>Regeste</w:t>
      </w:r>
    </w:p>
    <w:p>
      <w:r>
        <w:t>Regeste Art. 31 Abs. 1 StGB. Die Strafverfügung des Statthalteramtes nach zürcherischem Recht in Übertretungssachen ist Urteil erster Instanz.</w:t>
      </w:r>
    </w:p>
    <w:p>
      <w:r>
        <w:t>Regeste Art. 31 al. 1 CP. Sont des jugements de première instance les décisions pénales que, selon le droit zurichois, les préfets rendent en matière de contraventions.</w:t>
      </w:r>
    </w:p>
    <w:p>
      <w:r>
        <w:t>Regesto Art. 31 cp. 1 CP. Sono sentenze di prima instanza le decisioni penali che i prefetti emanano in materia di contravvenzioni secondo il diritto zurigano.</w:t>
      </w:r>
    </w:p>
    <w:p>
      <w:pPr>
        <w:pStyle w:val="Heading2"/>
      </w:pPr>
      <w:r>
        <w:t>Erwägungen</w:t>
      </w:r>
    </w:p>
    <w:p>
      <w:r>
        <w:rPr>
          <w:b/>
        </w:rPr>
        <w:t>E. 1</w:t>
      </w:r>
    </w:p>
    <w:p>
      <w:r>
        <w:t>Der Berechtigte kann seinen Strafantrag nur zurückziehen, solange das Urteil erster Instanz noch nicht verkündet ist ( Art. 31 Abs. 1 StGB ). BGE 81 IV 13 S. 15 Urteil im Sinne dieser Bestimmung ist jeder Entscheid der zuständigen Behörde, der verbindlich darüber erkennt, ob der Beschuldigte sich einer strafbaren Handlung schuldig gemacht hat, und der gegebenenfalls die Rechtsfolgen bestimmt, die diese Handlung nach sich zieht ( BGE 78 IV 151 ). Wenn die Kantone, wie in Übertretungssachen ( Art. 345 Ziff. 1 Abs. 2 StGB ) und im Verfahren gegen Kinder und Jugendliche ( Art. 84 ff., 91 ff. StGB ), berechtigt sind, die Beurteilung einer Verwaltungsbehörde zu übertragen, ist nicht erforderlich, dass das Urteil von einem Richter ausgehe. Ebensowenig ist nötig, dass der Beurteilung eine mündliche Verhandlung vorausgegangen sei, an der der Berechtigte müsste Gelegenheit gehabt haben, den Strafantrag zurückzuziehen. Wie im erwähnten Präjudiz ferner ausgeführt wurde, kann auch ein Entscheid, der nur unter der Voraussetzung Recht schafft, dass die Parteien sich ihm unterziehen oder dass er von keiner Seite durch Appellation, Einsprache und dergleichen angefochten wird, Urteil sein; denn indem Art. 31 Abs. 1 StGB von einem Urteil erster Instanz spricht, ist die Bestimmung insbesondere gerade für jene Fälle aufgestellt worden, in denen der Entscheid angefochten wird und das Verfahren vor einer oberen Instanz weitergeht.</w:t>
      </w:r>
    </w:p>
    <w:p>
      <w:r>
        <w:rPr>
          <w:b/>
        </w:rPr>
        <w:t>E. 2</w:t>
      </w:r>
    </w:p>
    <w:p>
      <w:r>
        <w:t>Nach dieser Rechtsprechung, deren Erwägungen durch die Ausführungen des Beschwerdegegners und des Einzelrichters nicht erschüttert werden, liegt in der Strafverfügung des Statthalteramtes Winterthur vom 25. August 1954 das Urteil erster Instanz. Eine Tätlichkeit, wie der Beschwerdeführer sie begangen haben soll, ist wahlweise mit Haft und Busse bedroht ( Art. 126 StGB ), also eine Übertretung ( Art. 101 StGB ), und konnte daher von Bundesrechts wegen von einer Verwaltungsbehörde sogut wie von einem Richter beurteilt werden. Dass das Statthalteramt tatsächlich als urteilende, nicht etwa bloss als eine untersuchende und das Urteilsverfahren vorbereitende Instanz geamtet hat, ergibt sich aus § 334 zürch. StPO, wonach es die daselbst bezeichneten Übertretungen "untersucht und beurteilt". Dass es den Beschwerdegegner, BGE 81 IV 13 S. 16 der schon vor der Polizei zu Worte gekommen war, nicht nochmals verhört hat, ist unerheblich. Der Begriff des Urteils setzt nicht voraus, dass der Richter oder die entscheidende Verwaltungsbehörde den Beschuldigten einvernommen habe, genügt doch sogar unter dem Gesichtspunkt des Art. 4 BV (Anspruch auf rechtliches Gehör), dass der Verurteilte in irgend einer Form, sei es auch bloss in einem Ermittlungsverfahren vor der Polizei oder erst im Rechtsmittelverfahren, zu Worte gekommen sei ( BGE 46 I 327 ). Der Entscheid des Statthalteramtes wäre denn auch in Rechtskraft erwachsen, wenn der Beschwerdegegner die Sache nicht durch Einsprache an den Einzelrichter des Bezirksgerichtes weitergezogen hätte. Zwar hätte gemäss § 354 StPO die Oberbehörde ihn noch binnen drei Monaten vom Tage der Ausfällung an wegen offenbarer Gesetzesverletzung aufheben können. Das heisst aber nicht, dass er ohne Überprüfung und Genehmigung durch die Oberbehörde nicht habe formell und materiell rechtskräftig werden können. Die Mitwirkung der Oberbehörde ist nicht notwendig, sondern deren Befugnis erschöpft sich darin, binnen drei Monaten den vom Statthalteramt allein gefällten Entscheid unter bestimmten Voraussetzungen von Amtes wegen unverbindlich zu erklären und gemäss § 355 StPO durch einen eigenen Entscheid zu ersetzen. Unerheblich ist auch, dass der Einzelrichter des Bezirksgerichtes hinsichtlich des Strafmasses nicht an die Strafverfügung des Statthalteramtes gebunden ist ( § 361 Abs. 1 StPO ); ein Entscheid kann auch dann Urteil sein, wenn die vom Verurteilten angerufene obere Instanz ihn zu Ungunsten- des letztern abändern darf. Der Rückzug des Strafantrages war daher im Verfahren vor dem Einzelrichter nicht mehr zulässig. Daraus folgt jedoch nicht, dass der Entscheid des Statthalteramtes zu bestätigen sei, sondern lediglich, dass das gerichtliche Verfahren vor dem Einzelrichter fortgesetzt werden muss. BGE 81 IV 13 S. 17 Dispositiv Demnach erkennt der Kassationshof: Die Nichtigkeitsbeschwerde wird gutgeheissen, die Verfügung des Einzelrichters des Bezirksgerichtes Winterthur vom 30. Oktober 1954 aufgehoben und die Sache zur Beurteilung an den Einzelrichter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