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124</w:t>
      </w:r>
    </w:p>
    <w:p>
      <w:r>
        <w:t>Bundesgericht (BGE), 1955-01-01, DE</w:t>
      </w:r>
    </w:p>
    <w:p>
      <w:r>
        <w:rPr>
          <w:b/>
        </w:rPr>
        <w:t xml:space="preserve">Quelle: </w:t>
      </w:r>
      <w:r>
        <w:t>https://mcp.opencaselaw.ch/entscheid/bge_BGE_81_IV_124</w:t>
      </w:r>
    </w:p>
    <w:p>
      <w:r>
        <w:t>FR: ATF 81 IV 124</w:t>
      </w:r>
    </w:p>
    <w:p>
      <w:r>
        <w:t>IT: DTF 81 IV 124</w:t>
      </w:r>
    </w:p>
    <w:p>
      <w:pPr>
        <w:pStyle w:val="Heading2"/>
      </w:pPr>
      <w:r>
        <w:t>Regeste</w:t>
      </w:r>
    </w:p>
    <w:p>
      <w:r>
        <w:t>Regeste Art. 335 Ziff. 1 Abs. 1 StGB. Die Kantone können nicht die einfache widernatürliche Unzucht als Übertretung mit Strafe bedrohen.</w:t>
      </w:r>
    </w:p>
    <w:p>
      <w:r>
        <w:t>Regeste Art. 335 ch. 1 al. 1 CP. Les cantons n'ont pas le droit de frapper d'une peine la simple débauche contre nature.</w:t>
      </w:r>
    </w:p>
    <w:p>
      <w:r>
        <w:t>Regesto Art. 335 cifra 1 cp. 1 CP. I cantoni non hanno la facoltà di colpire con una pena gli atti di semplice libidine.</w:t>
      </w:r>
    </w:p>
    <w:p>
      <w:pPr>
        <w:pStyle w:val="Heading2"/>
      </w:pPr>
      <w:r>
        <w:t>Erwägungen</w:t>
      </w:r>
    </w:p>
    <w:p>
      <w:r>
        <w:rPr>
          <w:b/>
        </w:rPr>
        <w:t>E. 3</w:t>
      </w:r>
    </w:p>
    <w:p>
      <w:r>
        <w:t>Art. 335 Ziff. 1 Abs. 1 StGB behält den Kantonen die Gesetzgebung über das Übertretungsstrafrecht soweit vor, als es nicht Gegenstand der Bundesgesetzgebung ist. Nach der Rechtsprechung des Kassationshofes zu dieser Bestimmung ( BGE 68 IV 41 , 110, BGE 70 IV 85 , 132, BGE 71 IV 47 ) sind die Kantone nicht schon dann berechtigt, einen bestimmten Tatbestand zur Übertretung zu erheben, wenn er nicht vom eidgenössischen Recht mit Strafe bedroht ist. Die Nichtaufnahme eines Tatbestandes in das Strafgesetzbuch kann bedeuten, dass er überhaupt straflos bleibe, also auch nicht als kantonale Übertretung geahndet werden dürfe. Diesen Sinn hat das Schweigen des Strafgesetzbuches dann, wenn dieses Gesetz die Angriffe auf ein bestimmtes Rechtsgut durch ein geschlossenes System von Normen regelt. Behandelt es dagegen ein bestimmtes strafrechtliches Gebiet überhaupt nicht, oder stellt es nur einige wenige Tatbestände daraus unter Strafe, um den von Kanton zu Kanton wechselnden Ansichten über die Strafwürdigkeit oder Straflosigkeit einer bestimmten Handlung Rechnung zu tragen, so bleibt Raum für kantonales Übertretungsstrafrecht. Für das Gebiet der Unzucht zwischen Personen gleichen Geschlechts enthält das Strafgesetzbuch ein geschlossenes System von Normen. Abgesehen von den Tatbeständen der Nötigung zu unzüchtigen Handlungen (Art. 188), Schändung (Art. 189), Unzucht mit Schwachsinnigen, Kindern unter sechzehn Jahren, unmündigen Pflegebefohlenen, Anstaltspfleglingen und dergleichen (Art. 190-193), die sowohl heterosexuelle als auch homosexuelle Handlungen umfassen, regelt es in Art. 194 die ausgezeichneten Fälle widernatürlicher Unzucht, nämlich die Verführung Unmündiger zur Vornahme oder Duldung solcher Handlungen BGE 81 IV 124 S. 127 (Abs. 1), deren Erwirkung durch Missbrauch der Notlage, eines Amts- oder Dienstverhältnisses oder einer auf ähnliche Weise begründeten Abhängigkeit (Abs. 2) und die gewerbsmässigen unzüchtigen Handlungen mit Personen gleichen Geschlechts (Abs. 3). Damit bringt es zum Ausdruck, dass der Bundesgesetzgeber nur diese schweren Fälle als strafwürdig erachtet, einfache widernatürliche Unzucht dagegen straflos zu bleiben hat. Dass das die Meinung der gesetzgebenden Behörden war, ergibt sich klar auch aus den Beratungen der Bundesversammlung, die, nicht ohne Widerstand, Art. 194 gutgeheissen hat (vgl. StenBull, Sonderausgabe, NatR 376 ff., 392 ff., 519 ff., StR 189 ff.). Ob die Kantone dennoch berechtigt wären, einfache widernatürliche Unzucht als Verstoss gegen die öffentliche Ordnung mit Übertretungsstrafe zu belegen, kann sich nicht fragen, da ein Verstoss gegen die öffentliche Ordnung nicht vorliegt. Die einfache widernatürliche Unzucht tritt öffentlich sowenig in Erscheinung wie z.B. die einfache Unzucht zwischen Personen verschiedenen Geschlechts, die von Bundesrechts wegen straflos zu bleiben hat ( BGE 68 IV 110 ). Auch spielen sich die damit gelegentlich verbundenen Tätlichkeiten und Erpressungen ihrem Wesen nach nicht in der Öffentlichkeit ab. Das Treiben der Strichjungen sodann fällt unter Art. 194 Abs 3 und gegebenenfalls unter Art. 205 oder 206 StGB ; dass die einfache widernatürliche Unzucht gegen die öffentliche Ordnung verstosse, ergibt sich aus ihm nicht. § 18 des schwyzerischen EG zum StGB, wonach mit Haft oder Busse zu bestrafen sei, wer an einer Person des gleichen Geschlechtes im Alter von mehr als sechzehn Jahren eine unzüchtige Handlung verübt oder an sich eine solche Handlung von einer Person des gleichen Geschlechtes duldet, ist somit bundesrechtswidrig. Die Vorinstanz hat den Beschwerdeführer von der Anschuldigung der einfachen widernatürlichen Unzucht freizusprechen. BGE 81 IV 124 S. 128 Dispositiv Demnach erkennt der Kassationhof: Die Nichtigkeitsbeschwerde wird dahin teilweise gutgeheissen, dass das Urteil des Kantonsgerichtes von Schwyz vom 28. Juni 1954 aufgehoben und die Sache zur Freisprechung des Beschwerdeführers von der Anklage der einfachen widernatürlichen Unzucht und zur Bestrafung wegen einfacher Körperverletzung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