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112</w:t>
      </w:r>
    </w:p>
    <w:p>
      <w:r>
        <w:t>Bundesgericht (BGE), 1951-06-22, DE</w:t>
      </w:r>
    </w:p>
    <w:p>
      <w:r>
        <w:rPr>
          <w:b/>
        </w:rPr>
        <w:t xml:space="preserve">Quelle: </w:t>
      </w:r>
      <w:r>
        <w:t>https://mcp.opencaselaw.ch/entscheid/bge_BGE_81_IV_112</w:t>
      </w:r>
    </w:p>
    <w:p>
      <w:r>
        <w:t>FR: ATF 81 IV 112</w:t>
      </w:r>
    </w:p>
    <w:p>
      <w:r>
        <w:t>IT: DTF 81 IV 112</w:t>
      </w:r>
    </w:p>
    <w:p>
      <w:pPr>
        <w:pStyle w:val="Heading2"/>
      </w:pPr>
      <w:r>
        <w:t>Regeste</w:t>
      </w:r>
    </w:p>
    <w:p>
      <w:r>
        <w:t>Regeste 1. Art. 269 BStP. Verhältnis der Nichtigkeitsbeschwerde zur staatsrechtlichen Beschwerde (Erw. 1). Darf der Kassationshof die Angemessenheit der Strafe überprüfen? (Erw. 6). 2. Art. 38 der Verordnung vom 22. Juni 1951 über die Verhütung von Unfällen bei der Verwendung von Kranen und Hebezeugen und Art. 66 K U V G stehen der Anwendung der Art. 229 und 230 StGB nicht im Wege (Erw. 2). 3. Art. 229 StGB. Muss der Verstoss gegen Regeln der Baukunde im Bauwerk in Erscheinung treten? (Erw. 3). 4. Art. 230 StGB. Wer kann sich der Beseitigung oder Nichtanbringung einer Sicherheitsvorrichtung schuldig machen? (Erw. 4). Adäquater Kausalzusammenhang (Erw. 5).</w:t>
      </w:r>
    </w:p>
    <w:p>
      <w:r>
        <w:t>Regeste 1. Art. 269 PPF. Rapport du pourvoi en nullité et du recours de droit public (consid. 1). La Cour de cassation peut-elle revoir la fixation de la peine? (consid. 6). 2. L'art. 38 de l'Ordonnance du 22 juin 1951 concernant les mesures destinées à prévenir des accidents dans l'emploi de grues et d'engins de levage et l'art. 66 LAMA ne font pas obstacle à l'application des art. 229 et 230 CP. 3. Art. 229 CP. La violation des règles de l'art de construire doitelle apparaître dans l'ouvrage? (consid. 3). 4. Art. 230 CP. Qui peut se rendre coupable de la suppression ou de la non-installation d'un appareil de protection? (consid. 4). Rapport de causalité adéquate (consid. 5).</w:t>
      </w:r>
    </w:p>
    <w:p>
      <w:r>
        <w:t>Regesto 1. Art. 269 PPF. Rapporto tra il ricorso per cassazione e il ricorso di diritto pubblico (consid. 1). La Corte di cassazione può sindacare la commisurazione della pena? (consid. 6). 2. L'art. 38 dell'ordinanza 22 giugno 1951 concernente le misure da prendere nell'uso di gru e di apparecchi di sollevamento e l'art. 66 LAMI non sono di ostacolo all'applicazione degli art. 229 e 230 CP (consid. 2). 3. Art. 229 CP. La violazione delle regole dell'arte edilizia deve manifestarsi nell'opera? (consid. 3). 4. Art. 230 CP. Chi può rendersi colpevole della soppressione o dell'omissione d'un dispositivo di protezione (consid. 4). Nesso causale adeguato (consid. 5).</w:t>
      </w:r>
    </w:p>
    <w:p>
      <w:pPr>
        <w:pStyle w:val="Heading2"/>
      </w:pPr>
      <w:r>
        <w:t>Erwägungen</w:t>
      </w:r>
    </w:p>
    <w:p>
      <w:r>
        <w:rPr>
          <w:b/>
        </w:rPr>
        <w:t>E. 1</w:t>
      </w:r>
    </w:p>
    <w:p>
      <w:r>
        <w:t>Die Nichtigkeitsbeschwerde ist nur gegen Verletzung eidgenössischen Rechts gegeben ( Art. 269 Abs. 1 BStP ), mit der Einschränkung, dass die Verletzung verfassungsmässiger Rechte, soweit ihr Inhalt nicht durch die eidgenössische Gesetzgebung näher umschrieben ist, mit staatsrechtlicher Beschwerde zu rügen ist ( Art. 269 Abs. 2 BStP , Art. 84 Abs. 2 OG ). Der Kassationshof hat daher lediglich zu prüfen, ob der Beschwerdeführer zu Recht verurteilt worden ist, nicht auch, ob wegen des Gebots der Rechtsgleichheit ( Art. 4 BV ) auch andere hätten verurteilt werden sollen. Unbegründete Nichtverurteilung Beteiligter kann nicht zur Folge haben, dass auch der Beschwerdeführer freizusprechen sei.</w:t>
      </w:r>
    </w:p>
    <w:p>
      <w:r>
        <w:rPr>
          <w:b/>
        </w:rPr>
        <w:t>E. 2</w:t>
      </w:r>
    </w:p>
    <w:p>
      <w:r>
        <w:t>Die Verordnung des Bundesrates vom 22. Juni 1951 über die Verhütung von Unfällen bei der Verwendung von Kranen und Hebezeugen ist in Ausführung des Bundesgesetzes vom 13. Juni 1911 über die Kranken- und Unfallversicherung (KUVG), insbesondere seines Art. 65, erlassen worden. Sie will durch Verhütung von Betriebsunfällen den Interessen der obligatorischen Unfallversicherung dienen. Art. 229 und 230 StGB dagegen schützen Leib und Leben von Menschen um ihrer selbst willen, unabhängig von Versicherungsinteressen. Wie durch den Zweck, weicht die Verordnung auch durch die Tatbestände, die ihr Art. 38 in Verbindung mit Art. 66 KUVG unter Strafe stellt, von Art. 229 und 230 StGB ab. Die Verordnung setzt nicht voraus, dass jemand an Leib oder Leben konkret gefährdet worden sei, und strafbar macht sich gemäss Art. 66 KUVG nur, wer die Übertretung vorsätzlich begeht. Art. 229 und 230 StGB sind dagegen nur bei konkreter Gefährdung von Leib und Leben anwendbar, dann aber unabhängig davon, ob die Tat vorsätzlich oder nur fahrlässig verübt worden ist. Der Verschiedenheit der Zwecke und der Tatbestände entspricht die Verschiedenheit der angedrohten Strafen. Art. 66 KUVG sieht, ausgenommen für Rückfall, nur wahlweise oder kumulativ Busse bis zu fünfhundert BGE 81 IV 112 S. 119 Franken und Gefängnis bis zu drei Monaten vor, wobei seit der Geltung des Strafgesetzbuches gemäss dessen Art. 333 Abs. 2 statt auf Gefängnis auf Haft zu erkennen ist. Wer der Verordnung zuwider handelt, begeht somit eine blosse Übertretung. Die Art. 229 und 230 StGB dagegen umschreiben Vergehen, auf denen Gefängnis von drei Tagen bis zu drei Jahren und Busse stehen und bei deren fahrlässigen Begehung diese Strafen einzeln oder kumulativ ausgesprochen werden können ( Art. 36 Ziff. 1, 50 Abs. 2 StGB ). Unter diesen Umständen liegt auf der Hand, dass die Verordnung und Art. 66 KUVG den Art. 229 und 230 StGB nicht vorgehen können.</w:t>
      </w:r>
    </w:p>
    <w:p>
      <w:r>
        <w:rPr>
          <w:b/>
        </w:rPr>
        <w:t>E. 3</w:t>
      </w:r>
    </w:p>
    <w:p>
      <w:r>
        <w:t>Nach Art. 229 Abs. 1 StGB ist strafbar, wer vorsätzlich bei der Leitung oder Ausführung eines Bauwerkes oder eines Abbruches die anerkannten Regeln der Baukunde ausser acht lässt und dadurch wissentlich Leib und Leben von Mitmenschen gefährdet. Lässt der Täter die anerkannten Regeln der Baukunde fahrlässig ausser acht, so trifft Art. 229 Abs. 2 zu. Der Sturz des Krans war die natürliche Folge eines beim teilweisen Abbrechen seines Geleises begangenen Fehlers, der darin bestand, dass die vorgeschriebenen Puffer nicht wieder angebracht, sondern durch einen behelfsmässig befestigten Balken ersetzt wurden. Dennoch kann dem Beschwerdeführer nicht vorgeworfen werden, er habe im Sinne der erwähnten Bestimmung bei der Leitung oder Ausführung eines "Abbruches" anerkannte Regeln der Baukunde ausser acht gelassen. Abgesehen davon, dass die Verkürzung des Geleises von ihm weder geleitet noch ausgeführt wurde, ging sie ordnungsgemäss vor sich und kam es zu einem Unfalle nur, weil der nicht abgebrochene Rest des Geleises in vorschriftswidrigem Zustande weiterverwendet wurde. Es kann deshalb dahingestellt bleiben, ob unter einem "Abbruch" nur der Abbruch eines Bauwerkes zu verstehen ist - was der Umstand, dass Regeln der "Baukunde" verletzt worden sein müssen, nahe legt -, und ob das Geleise ein "Bauwerk" war. BGE 81 IV 112 S. 120 Sollte das Geleise ein Bauwerk gewesen sein, so wäre freilich seine mangelhafte Sicherung als ein bei der Herrichtung der verkürzten Anlage unterlaufener Verstoss gegen anerkannte Regeln der Baukunde zu würdigen. Allein auch unter diesem Gesichtspunkt könnte der Beschwerdeführer nicht nach Art. 229 bestraft werden, weil nicht er das verkürzte Geleise zur Weiterverwendung hergerichtet hat oder hat herrichten lassen. Das verkürzte Geleise diente dem ersten Kran, mittelbar sodann der Aufrichtung des zweiten Krans und war damit auch Hilfsmittel für die Erstellung des Hauses, das unter Verwendung des zweiten Krans gebaut werden sollte. Da dieses Haus ein Bauwerk ist, wäre deshalb in der Verwendung des mit mangelhafter Sicherung versehenen Geleises selbst dann ein bei der Ausführung eines Bauwerkes begangener Verstoss gegen anerkannte Regeln der Baukunde zu sehen, wenn nicht auch schon der zweite Kran als Bauwerk und seine Aufrichtung als gegen solche Regeln verstossend zu würdigen wäre; vorausgesetzt immerhin, dass Art. 229 auch dann zutreffe, wenn der Verstoss nicht am Bauwerk selber, sondern lediglich an den bei seiner Erstellung verwendeten Hilfseinrichtungen (Gerüste, Maschinen usw.) in Erscheinung tritt. Ob diese Bestimmung diesen weiten Sinn hat und der Beschwerdeführer, weil er sich des mangelhaft gesicherten ersten Krans bedient hat, nach ihr strafbar ist, kann indessen offen bleiben; denn jedenfalls hat er sich nach Art. 230 StGB vergangen, dessen Anwendung dem Obergericht ohne Verletzung eidgenössischen Rechts zur Ausfällung der gleichen Strafe hätte Anlass geben können und, wie es ausführt, tatsächlich Anlass gegeben hätte.</w:t>
      </w:r>
    </w:p>
    <w:p>
      <w:r>
        <w:rPr>
          <w:b/>
        </w:rPr>
        <w:t>E. 4</w:t>
      </w:r>
    </w:p>
    <w:p>
      <w:r>
        <w:t>Art. 230 StGB bedroht mit Strafe den, der "vorsätzlich in Fabriken oder in andern Betrieben oder an Maschinen eine zur Verhütung von Unfällen dienende Vorrichtung beschädigt, zerstört, beseitigt oder sonst unbrauchbar macht oder ausser Tätigkeit setzt" (Ziff. 1 Abs. 1) oder "vorsätzlich eine solche Vorrichtung vorschriftswidrig BGE 81 IV 112 S. 121 nicht anbringt" (Ziff. 1 Abs. 2). Strafbar macht sich auch, wer fahrlässig handelt (Ziff. 2). Die von Art. 14 der Verordnung der Stadt Zürich vom 1. Oktober 1943 über die Verwendung von Hebezeugen im Hoch- und Tiefbau vorgeschriebenen Puffer oder geeigneten Prellböcke, die an den Enden der Geleise von Kranen angebracht werden müssen, sind Vorrichtungen, die der Verhütung von Unfällen dienen. Waren im vorliegenden Falle bei der Erstellung der 22 m langen Geleiseanlage vorschriftsgemäss Puffer angebracht worden, so ist nichtsdestoweniger klar, dass sie auch nach der Verkürzung des Geleises wieder anzubringen waren. Fragen kann sich nur, ob diese vorschriftswidrige Unterlassung lediglich dem zum Betriebe Pillers gehörenden Personal, das das Geleise verkürzte, oder auch dem Beschwerdeführer, der den ersten Kran auf ihm zwecks Erstellung des zweiten Krans verkehren liess, zur Last fällt. Die strafrechtliche Verantwortlichkeit des Beschwerdeführers lässt sich nicht mit der Begründung verneinen, weder er noch die Franz Stirnimann Baumaschinen AG als seine Arbeitgeberin seien zivilrechtlich verpflichtet gewesen, das Geleise in betriebssicheren Zustand zu bringen. Art. 230 StGB auferlegt Pflichten nicht nur dem Betriebsinhaber und den ihm gegenüber zivilrechtlich gebundenen Gehilfen. Diese Einschränkung würde den Schutz von Leib und Leben, dem die Bestimmung dienen will, erheblich abschwächen. Jeder, der seine Sicherheitsvorrichtung der umschriebenen Art vorsätzlich oder fahrlässig beseitigt, macht sich strafbar, desgleichen jeder, der eine solche vorsätzlich oder fahrlässig nicht anbringt, wenn er nach gesetzlicher Vorschrift, nach Vertrag oder auch bloss nach den Umständen zur Anbringung verpflichtet ist. Für den Beschwerdeführer ergab sich eine solche Pflicht daraus, dass er den mangelhaft gesicherten Kran, wenn auch mit Einwilligung Pillers, zu der ihm obliegenden Aufrichtung des zweiten Krans verwenden liess. BGE 81 IV 112 S. 122 Auch in subjektiver Hinsicht trifft Art. 230 zu. Der Beschwerdeführer wusste, dass das Geleise statt der vorgeschriebenen Puffer nur eine behelfsmässige Sicherung trug. Über deren Ungenügen konnte er sich als Fachmann bei pflichtgemässer Überlegung Rechenschaft geben. Dass eine so liederliche Vorrichtung von der Baupolizei genehmigt worden sei, durfte er nicht annehmen, und selbst wenn er es hätte annehmen dürfen, wäre er nicht entschuldigt, da sein Fachwissen ausreichte, um zu erkennen, dass sie den Vorschriften nicht entsprach. Das Mitverschulden des Kym, der trotz der Beanstandung durch Weibel nicht für Abhilfe sorgte, ändert an der Pflichtwidrigkeit der Unterlassung des Beschwerdeführers nichts. Dieser hätte verlangen sollen, es seien vorschriftsgemässe Puffer anzubringen. Wäre seinem Begehren nicht entsprochen worden, hätte er sich weigern sollen, den Kran für die Aufrichtung des andern zu benützen. Der Beschwerdeführer konnte sich auch Rechenschaft geben, dass selbst die Bedienung durch einen gewissenhaften Kranführer einen Unfall nicht ausschloss. Gerade weil es schwierig ist, einen Kran so zuverlässig zu führen, dass er nicht über die Enden des Geleises hinaus gerät, zumal wenn dieses nur 9 m lang ist, werden vorschriftsgemässe Puffer verlangt. Ob Weibel den Unfall hätte verhüten können, ist deshalb unerheblich; mit einem allfälligen Versagen musste der Beschwerdeführer rechnen. Dass der Kran stürzen und Menschen gefährden könne, wenn er auf die frei schwebenden Enden der Schienen geraten würde, musste der Beschwerdeführer sich ebenfalls sagen. Der Vorwurf fahrlässigen Verhaltens ist ihm gegenüber in allen Teilen begründet.</w:t>
      </w:r>
    </w:p>
    <w:p>
      <w:r>
        <w:rPr>
          <w:b/>
        </w:rPr>
        <w:t>E. 5</w:t>
      </w:r>
    </w:p>
    <w:p>
      <w:r>
        <w:t>Die Bestreitung des Kausalszusammenhanges zwischen der ungenügenden Sicherung und dem Sturz des Krans hält nicht stand. Der Beschwerdeführer behauptet nicht, dass der Unfall auch eingetreten wäre, wenn die Geleise vorschriftsgemässe Puffer getragen hätten. Fuhr der Kran aber nur deshalb über das Geleise hinaus, weil BGE 81 IV 112 S. 123 die behelfsmässige Sicherung nachgab, nicht weil etwa Weibel mit unvoraussehbarer Wucht gegen diese angefahren wäre, so ist sowohl der natürliche Zusammenhang zwischen der pflichtwidrigen Unterlassung des Beschwerdeführers und der Gefährdung von Leib und Leben anderer, als auch die Adäquanz dieses Zusammenhanges zu bejahen; gerade weil nach dem gewöhnlichen Lauf der Dinge die ungenügende Sicherung eines Turmdrehkrans zu Unfällen solcher Art führen kann, schreibt die Verordnung der Stadt Zürich Puffer oder geeignete Prellböcke vor.</w:t>
      </w:r>
    </w:p>
    <w:p>
      <w:r>
        <w:rPr>
          <w:b/>
        </w:rPr>
        <w:t>E. 6</w:t>
      </w:r>
    </w:p>
    <w:p>
      <w:r>
        <w:t>Da der Kassationshof nicht Appellationsinstanz ist, hat er die Strafe nicht nach eigenem Ermessen zu bestimmen. Er könnte die Herabsetzung der Busse nur verfügen, wenn sie nach unzutreffenden rechtlichen Gesichtspunkten zugemessen worden oder willkürlich hart wäre ( BGE 68 IV 21 , BGE 78 IV 72 ). Davon kann angesichts der schweren Gefahr für Leib und Leben von Menschen, die der Beschwerdeführer geschaffen hat, keine Rede sein. Eher liesse sich von übertriebener Milde sprechen. Dispositiv Demnach erkennt der Kassationshof: Die Beschwerde wird abgewiesen,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