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101</w:t>
      </w:r>
    </w:p>
    <w:p>
      <w:r>
        <w:t>Bundesgericht (BGE), 1955-01-01, DE</w:t>
      </w:r>
    </w:p>
    <w:p>
      <w:r>
        <w:rPr>
          <w:b/>
        </w:rPr>
        <w:t xml:space="preserve">Quelle: </w:t>
      </w:r>
      <w:r>
        <w:t>https://mcp.opencaselaw.ch/entscheid/bge_BGE_81_IV_101</w:t>
      </w:r>
    </w:p>
    <w:p>
      <w:r>
        <w:t>FR: ATF 81 IV 101</w:t>
      </w:r>
    </w:p>
    <w:p>
      <w:r>
        <w:t>IT: DTF 81 IV 101</w:t>
      </w:r>
    </w:p>
    <w:p>
      <w:pPr>
        <w:pStyle w:val="Heading2"/>
      </w:pPr>
      <w:r>
        <w:t>Regeste</w:t>
      </w:r>
    </w:p>
    <w:p>
      <w:r>
        <w:t>Regeste Art. 181 StGB. a) Auch die Nötigung zu einem rechtswidrigen Tun oder Unterlassen fällt unter Art. 181 (Erw. 1). b) Nachteil, bestehend in einer üblen Nachrede oder Verleumdung, die der Täter androht (Erw. 2). c) Wann ist der angedrohte Nachteil ernstlich? (Erw. 3).</w:t>
      </w:r>
    </w:p>
    <w:p>
      <w:r>
        <w:t>Regeste Art. 181 CP. a) La contrainte à un acte ou une omission illicites tombe également sous le coup de l'art. 181 (consid. 1). b) Dommage consistant dans une diffamation ou une calomnie dont l'auteur menace (consid. 2). c) Quand le dommage dont l'auteur menace est-il sérieux? (consid. 3).</w:t>
      </w:r>
    </w:p>
    <w:p>
      <w:r>
        <w:t>Regesto Art. 181 CP. a) Anche la coazione ad un atto o un'omissione illeciti cade sotto l'art. 181 (consid. 1). b) Danno consistente in una diffamazione o calunnia minacciata dall'autore (consid. 2). c) Quando il danno minacciato è grave? (consid. 3).</w:t>
      </w:r>
    </w:p>
    <w:p>
      <w:pPr>
        <w:pStyle w:val="Heading2"/>
      </w:pPr>
      <w:r>
        <w:t>Erwägungen</w:t>
      </w:r>
    </w:p>
    <w:p>
      <w:r>
        <w:rPr>
          <w:b/>
        </w:rPr>
        <w:t>E. 1</w:t>
      </w:r>
    </w:p>
    <w:p>
      <w:r>
        <w:t>Der Antrag der Beschwerdeführerin auf Freisprechung von der Anschuldigung des Nötigungsversuches lässt sich zum vornherein nicht damit begründen, Art. 181 StGB setze einen Angriff auf die Handlungsfreiheit voraus, das Erscheinen des Y als Zeuge habe aber nicht von dessen freien Willen abgehangen. Wäre die Überlegung der Beschwerdeführerin begründet, so läge ein untauglicher Versuch vor, weil der Gegenstand, woran die Beschwerdeführerin das Vergehen auszuführen versuchte, so gewesen wäre, dass die Tat an ihm überhaupt nicht ausgeführt werden konnte ( Art. 23 Abs. 1 StGB ). Untauglicher Versuch aber führt nicht zur Freisprechung, sondern berechtigt den Richter nur, die auf dem vollendeten Vergehen stehende Strafe nach freiem Ermessen zu mildern. BGE 81 IV 101 S. 104 Die Rüge der Beschwerdeführerin hält aber überhaupt nicht stand. Richtig ist zwar, dass Art. 181 StGB sich gegen die Beeinträchtigung der Handlungsfreiheit richtet. Sie liegt aber im Falle der Androhung ernstlicher Nachteile darin, dass das Opfer durch die Aussicht, solche Nachteile zu erleiden, zu einem Tun oder Unterlassen bestimmt wird, zu dem es sich ohne die Androhung nicht entschlösse. Ob sein Verhalten, das der Täter herbeiführen will, unrechtmässig oder rechtmässig sei und ob der Staat es verhindern könne oder nicht, ist unerheblich. Wer einen anderen durch Androhung ernstlicher Nachteile z.B. zur Begehung einer strafbaren Handlung veranlasst, verübt das Vergehen des Art. 181 so gut, wie wenn er ihn zu einem erlaubten Tun nötigte, obschon die vom Täter begehrte Handlung vom Standpunkt der Rechtsordnung aus nicht im Belieben des Opfers steht, sondern rechtswidrig ist und vom Staate verhindert werden muss, wenn er sie voraussieht. Entsprechend verhält es sich, wenn jemand einen andern durch Androhung ernstlicher Nachteile von einer Handlung abhalten will, zu der er rechtlich verpflichtet ist und die, wenn er sie nicht freiwillig vornimmt, vom Staate erzwungen wird. Es wäre eine sonderbare Rechtsordnung, wenn sie nur die Nötigung zu einem erlaubten Verhalten mit Strafe bedrohte, nicht auch die Nötigung zu einem rechtswidrigen Tun oder Unterlassen. Wer einen anderen durch Androhung ernstlicher Nachteile zur Verletzung seiner Pflichten veranlasst, handelt besonders verwerflich. Der Bürger, der bereit ist, seine Pflichten zu erfüllen, soll davon nicht durch Androhung ernstlicher Nachteile abgehalten werden; in solchem Vorgehen liegt ein Angriff auf die Freiheit seines Willens. Der Versuch, den die Beschwerdeführerin unternommen hat, war daher nicht untauglich.</w:t>
      </w:r>
    </w:p>
    <w:p>
      <w:r>
        <w:rPr>
          <w:b/>
        </w:rPr>
        <w:t>E. 2</w:t>
      </w:r>
    </w:p>
    <w:p>
      <w:r>
        <w:t>Die Beschwerdeführerin hat Y durch die Drohung, sie werde bekanntgeben, dass er zu Fräulein X ehewidrige Beziehungen unterhalte, gefügig zu machen versucht. Ob er solche Beziehungen tatsächlich unterhalten oder mit Fräulein X nur kameradschaftlich verkehrt hat, ist im BGE 81 IV 101 S. 105 angefochtenen Urteil offen gelassen worden. Darauf kommt, wie das Amtsgericht zutreffend annimmt, auch nichts an. Die Bekanntgabe ehewidriger Beziehungen - worunter die Beschwerdeführerin in erster Linie die Bekanntgabe an Frau Y verstand, an die sie sich dann auch telephonisch gewendet hat - war für Y im einen wie im anderen Falle ein Nachteil, weil sie einen Angriff auf seine Ehre enthielt, der als üble Nachrede oder Verleumdung sogar Strafe nach sich ziehen konnte. Daran würde selbst dann nichts geändert, wenn gewisse Drittpersonen schon gewusst oder sich eingebildet haben sollten, Y unterhalte mit Fräulein X ehewidrige Beziehungen; denn ein Angriff auf die Ehre einer Person wird nicht dadurch rechtmässig, dass der Ruf des Angegriffenen bereits, sei es begründeter-, sei es unbegründeterweise, gelitten hat. Ebensowenig kommt etwas darauf an, ob Y ohnehin damit rechnen musste, dass sein Umgang mit Fräulein X einmal bekannt und für ehewidrig gehalten werde, insbesondere von seiner Ehefrau. Was die Beschwerdeführerin ihm androhte, war nichtsdestoweniger eine seinen Ruf gefährdende und daher für ihn nachteilige Blossstellung.</w:t>
      </w:r>
    </w:p>
    <w:p>
      <w:r>
        <w:rPr>
          <w:b/>
        </w:rPr>
        <w:t>E. 3</w:t>
      </w:r>
    </w:p>
    <w:p>
      <w:r>
        <w:t>Auch war der angedrohte Nachteil "ernstlich" im Sinne des Art. 181 StGB . Die Auffassung des Beschwerdeführers, dieses Merkmal sei nur erfüllt, wenn eine schwere Drohung im Sinne des Art. 180 StGB vorliege, ist vom Kassationshof bereits in einem Urteil vom 31. Dezember 1949 i.S. Peck widerlegt worden. Schon der Wortlaut des Gesetzes verbietet, die Androhung nach Art. 181 jener nach Art. 180 gleichzustellen. Eine "schwere Drohung" (Art. 180) setzt mehr voraus als eine "Androhung ernstlicher Nachteile" (Art. 181), da zwischen "schwer" und "ernstlich" ein gradueller Unterschied besteht. Er kommt auch im französischen Text zum Ausdruck, wo von "menace grave" (Art. 180) und "menaçant d'un dommage sérieux" (Art. 181) die Rede ist. Mit Rücksicht auf diese klare Abstufung in den beiden Texten kann nichts darauf ankommen, dass der italienische mit den Ausdrücken BGE 81 IV 101 S. 106 "grave minaccia" (Art. 180) und "minaccia di grave danno" (Art. 181) noch am ehesten für die Gleichstellung der beiden Androhungen angerufen werden könnte. Dazu kommt, dass auch die weiteren, von einander abweichenden Erfordernisse der beiden Tatbestände einen Unterschied in der Androhung erkennen lassen, der sich der Täter im einen und im anderen Falle bedient. Um jemanden "in Schrecken oder Angst" zu versetzen (Art. 180), braucht es mehr, als um ihn zu einer Handlung, Unterlassung oder Duldung zu nötigen, die er sonst nicht gewollt hätte (Art. 181). Die höhere Anforderung in Art. 180 ist auch sachlich gerechtfertigt durch den inneren Unterschied der beiden Tatbestände, indem die Drohung die Freiheit der Willensbildung lediglich gefährdet, die Nötigung dagegen sie verletzt; gegenüber blossen Gefährdungshandlungen ist das Strafgesetz zurückhaltender als gegenüber Verletzungen der gleichen Rechtsgüter. Art. 181 setzt nicht voraus, dass der angedrohte Nachteil so schwer sei, dass der Betroffene ob der Androhung in Schrecken oder Angst geraten könnte; es genügt, wenn der Nachteil ernstlich genug ist, um den Betroffenen in seiner Handlungsfreiheit wesentlich beeinträchtigen zu können. Das war hier der Fall. Dass Y sich nicht hat beeindrucken lassen, sondern seine Zeugenpflicht erfüllt hat, steht dieser Würdigung nicht im Wege. Die Ernstlichkeit des Nachteils hängt nicht vom tatsächlichen Erfolge der Androhung ab, sondern vom objektiven Ausmass des angedrohten Eingriffs.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