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9</w:t>
      </w:r>
    </w:p>
    <w:p>
      <w:r>
        <w:t>Bundesgericht (BGE), 1955-01-01, FR</w:t>
      </w:r>
    </w:p>
    <w:p>
      <w:r>
        <w:rPr>
          <w:b/>
        </w:rPr>
        <w:t xml:space="preserve">Quelle: </w:t>
      </w:r>
      <w:r>
        <w:t>https://mcp.opencaselaw.ch/entscheid/bge_BGE_81_II_9</w:t>
      </w:r>
    </w:p>
    <w:p>
      <w:r>
        <w:t>FR: ATF 81 II 9</w:t>
      </w:r>
    </w:p>
    <w:p>
      <w:r>
        <w:t>IT: DTF 81 II 9</w:t>
      </w:r>
    </w:p>
    <w:p>
      <w:pPr>
        <w:pStyle w:val="Heading2"/>
      </w:pPr>
      <w:r>
        <w:t>Regeste</w:t>
      </w:r>
    </w:p>
    <w:p>
      <w:r>
        <w:t>Regeste Kollokationsklage im Konkurs. Art. 250 SchKG. Klagt ein Gläubiger, dessen Anspruch im Kollokationsplan abgewiesen wurde, gegen die Masse, so kann er den Anspruch auch auf andere als die in der Konkurseingabe angerufenen Gründe stützen. Gilt dies ebenfalls, wenn die Klage gegen einzelne Gläubiger als Zessionare der Masse gerichtet ist.? Frage vorbehalten. In diesem zweiten Falle ist das Bundesrecht verletzt, wenn der Richter die Klage auf Grund eines andern als des in der Konkurseingabe geltend gemachten Rechtstitels schützt, obschon nur dieser im Prozess angerufen wurde. Verpflichtung, die von der Ehefrau im Interesse des Ehemannes eingegangen und vom Manne verbürgt worden ist. Nichtigkeit der Hauptschuld mangels Zustimmung der Vormundschaftsbehörde (Art. 177 Abs. 3 ZGB). Will der Gläubiger dennoch Ansprüche aus Art. 492 Abs. 3 OR erheben, so hat er zu beweisen, dass dem Ehemanne das Erfordernis der Zustimmungder Vormundschaftsbehörde für die Verpflichtung der Frau nicht unbekannt war.</w:t>
      </w:r>
    </w:p>
    <w:p>
      <w:r>
        <w:t>Regeste Action en contestation de l'état de collocation dans la faillite, art. 250 LP. Lorsque la masse est partie au procès, le créancier dont la production a été écartée est recevable à invoquer à l'appui de sa créance un titre différent de celui en vertu duquel il a justifié sa production. En est-il de même lorsque l'action est dirigée contre certains créanciers en qualité de cessionnaires de la masse? Question réservée. Commet une violation du droit fédéral, dans cette seconde hypothèse, le tribunal qui admet la prétention du demandeur en vertu d'un autre titre que celui sur lequel était fondée la production, alors que celui-ci seul était invoqué dans le procès. Dette contractée par la femme dans l'intérêt du mari et cautionnée par le mari. Nullité de l'obligation principale faute d'approbation de l'autorité tutélaire (art. 177 al. 3 CC). Le créancier qui entend néanmoins se prévaloir de l'art. 492 al. 3 CO doit prouver que le mari n'ignorait pas que l'engagement de sa femme nécessitait l'approbation de l'autorité tutélaire.</w:t>
      </w:r>
    </w:p>
    <w:p>
      <w:r>
        <w:t>Regesto Azione di contestazione della graduatoria nel fallimento, art. 250 LEF. Quando l'azione è diretta contro la massa, il creditore il cui credito non è stato ammesso in sede di graduatoria può invocare a sostegno del suo credito un titolo diverso da quello su cui poggiava l'insinuazione. Quid se l'azione è diretta contro determinati creditori quali cessionari della massa? Questione riservata. Viola il diritto federale, in questa seconda ipotesi, il giudice che ammette la pretesa dell'attore in virtù d'un titolo diverso da quello fatto valere all'atto dell'insinuazione, benchè solo questo titolo sia stato invocato nel processo. Debito contratto dalla moglie nell'interesse del marito e pel quale il marito si è fatto garante. Nullità dell'obbligazione principale in mancanza del consenso dell'autorità tutoria (art. 177 cp. 3 CC). Se ciononostante il creditore intende prevalersi dell'art. 492 cp. 3 CO, incombe a lui di provare che il marito non ignorava che l'impegno assunto da sua moglie richiedeva il consenso dell'autorità tutoria.</w:t>
      </w:r>
    </w:p>
    <w:p>
      <w:pPr>
        <w:pStyle w:val="Heading2"/>
      </w:pPr>
      <w:r>
        <w:t>Erwägungen</w:t>
      </w:r>
    </w:p>
    <w:p>
      <w:r>
        <w:rPr>
          <w:b/>
        </w:rPr>
        <w:t>E. 1</w:t>
      </w:r>
    </w:p>
    <w:p>
      <w:r>
        <w:t>Le recours principal est rejeté.</w:t>
      </w:r>
    </w:p>
    <w:p>
      <w:r>
        <w:rPr>
          <w:b/>
        </w:rPr>
        <w:t>E. 2</w:t>
      </w:r>
    </w:p>
    <w:p>
      <w:r>
        <w:t>Le recours joint est admis et le jugement attaqué réformé en ce sens que les conclusions de la demanderesse sont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