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585</w:t>
      </w:r>
    </w:p>
    <w:p>
      <w:r>
        <w:t>Bundesgericht (BGE), 1955-01-01, FR</w:t>
      </w:r>
    </w:p>
    <w:p>
      <w:r>
        <w:rPr>
          <w:b/>
        </w:rPr>
        <w:t xml:space="preserve">Quelle: </w:t>
      </w:r>
      <w:r>
        <w:t>https://mcp.opencaselaw.ch/entscheid/bge_BGE_81_II_585</w:t>
      </w:r>
    </w:p>
    <w:p>
      <w:r>
        <w:t>FR: ATF 81 II 585</w:t>
      </w:r>
    </w:p>
    <w:p>
      <w:r>
        <w:t>IT: DTF 81 II 585</w:t>
      </w:r>
    </w:p>
    <w:p>
      <w:pPr>
        <w:pStyle w:val="Heading2"/>
      </w:pPr>
      <w:r>
        <w:t>Regeste</w:t>
      </w:r>
    </w:p>
    <w:p>
      <w:r>
        <w:t>Regeste Eventuelles Scheidungsbegehren. Zulässigkeit. Änderung der Rechtsprechung zum Fall, dass die beklagte Partei zwar die unheilbare Zerrüttung der Ehe anerkennt, jedoch im Interesse der Aufrechterhaltung der Ehe bereit wäre, auf Geltendmachung ihrer eigenen Scheidungsgründe zu verzichten, und die ihr vom andern Ehegatten zur Last gelegten Ursachen der Entzweiung bestreitet.</w:t>
      </w:r>
    </w:p>
    <w:p>
      <w:r>
        <w:t>Regeste Conclusions subsidiaires en divorce. Recevabilité. Modification de la jurisprudence dans le cas où la partie défenderesse, tout en reconnaissant la rupture irrémédiable du lien conjugal, serait disposée dans l'intérêt du maintien du mariage à renoncer à faire valoir ses propres motifs de divorce et conteste les causes de désunion que son conjoint veut mettre à sa charge.</w:t>
      </w:r>
    </w:p>
    <w:p>
      <w:r>
        <w:t>Regesto Conclusioni subordinate nell'azione di divorzio. Ricevibilità. Cambiamento di giurisprudenza per quanto riguarda il caso in cui la convenuta riconosce bensi la profonda turrbazione delle relazioni coniugali, ma sarebbe disposta, per mantenere l'unione coniugale, a rinunciare a far valere i propri motivi di divorzio e contesta le cause della turbazione che l'attore le attribuisce.</w:t>
      </w:r>
    </w:p>
    <w:p>
      <w:pPr>
        <w:pStyle w:val="Heading2"/>
      </w:pPr>
      <w:r>
        <w:t>Erwägungen</w:t>
      </w:r>
    </w:p>
    <w:p>
      <w:r>
        <w:rPr>
          <w:b/>
        </w:rPr>
        <w:t>E. 4</w:t>
      </w:r>
    </w:p>
    <w:p>
      <w:r>
        <w:t>Dame R. a repris dans l'instance de réforme les conclusions subsidiaires qu'elle avait formulées devant les juridictions cantonales et par lesquelles elle demande que, si le divorce est prononcé, il le soit aux torts de l'intimé. Dans l'arrêt RO 69 II 352, le Tribunal fédéral a jugé que de telles conclusions subsidiaires sont irrecevables en soi. Il a considéré que "- abstraction faite des conclusions qui tendraient à la séparation de corps -, il n'y a pour l'époux contre lequel une demande en divorce est formulée que deux partis possibles: ou de s'opposer purement et simplement au divorce ou de s'y opposer et de conclure reconventionnellement au divorce. Se contenter de conclure "subsidiairement" au divorce, quand principalement on a conclu au rejet des conclusions de la partie demanderesse, c'est se mettre en contradiction avec soi-même, car on ne peut soutenir en même temps qu'il n'existe pas de cause de divorce et en alléguer une, serait-ce même à la charge de son conjoint". Cette jurisprudence, qui a été critiquée par HINDERLING (Das Schweizerische Ehescheidungsrecht, p. 131) et BARDE (Le Procès en divorce, Rapport présenté à l'Assemblée de la Société suisse des juristes 1955, Revue de droit suisse 1955, p. 505a - 506a), est cependant trop absolue. Si elle se justifie quand la partie défenderesse BGE 81 II 585 S. 587 conteste que le lien conjugal soit si profondément atteint que la vie commune est devenue insupportable, elle n'est plus fondée lorsque cette partie, tout en reconnaissant la rupture irrémédiable du lien conjugal, serait disposée dans l'intérêt du maintien du mariage à renoncer à faire valoir ses propres motifs de divorce et conteste les causes de désunion que son conjoint veut mettre à sa charge. Dans ce cas, le défendeur doit être admis à formuler des conclusions subsidiaires pour faire constater, dans l'éventualité où le juge considérerait que le lien conjugal est définitivement rompu et que l'art. 142 al. 2 CC n'est pas applicable, que la désunion est imputable également à la partie demanderesse. En l'espèce, comme P. R. a gravement et de façon fautive porté atteinte au lien conjugal par son alcoolisme, le divorce doit être également prononcé contre lui et la demande subsidiaire de la recourante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