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547</w:t>
      </w:r>
    </w:p>
    <w:p>
      <w:r>
        <w:t>Bundesgericht (BGE), 1955-01-01, IT</w:t>
      </w:r>
    </w:p>
    <w:p>
      <w:r>
        <w:rPr>
          <w:b/>
        </w:rPr>
        <w:t xml:space="preserve">Quelle: </w:t>
      </w:r>
      <w:r>
        <w:t>https://mcp.opencaselaw.ch/entscheid/bge_BGE_81_II_547</w:t>
      </w:r>
    </w:p>
    <w:p>
      <w:r>
        <w:t>FR: ATF 81 II 547</w:t>
      </w:r>
    </w:p>
    <w:p>
      <w:r>
        <w:t>IT: DTF 81 II 547</w:t>
      </w:r>
    </w:p>
    <w:p>
      <w:pPr>
        <w:pStyle w:val="Heading2"/>
      </w:pPr>
      <w:r>
        <w:t>Regeste</w:t>
      </w:r>
    </w:p>
    <w:p>
      <w:r>
        <w:t>Regeste Art. 128 Ziff. 3 und 129 KUVG. 1. Die Aufhebung der Vorschriften des EHG und ihre Ersetzung durch die Vorschriften des OR wie auch die Begrenzung der Haftung nach OR auf die Fälle, in denen der Unfall vom Arbeitgeber absichtlich oder grobfahrlässig herbeigeführt worden ist, gelten nicht nur gegenüber den obligatorisch versicherten Arbeitern und Angestellten, sondern auch gegenüber ihren Hinterbliebenen (Erw. 1). 2. Die Vorschriften des OR sind schlechthin anwendbar und die Haftungsbeschränkung ist unabhängig von den Rechtsgründen, aus denen die Verantwortlichkeit nach gemeinem Recht abgeleitet wird (Erw. 2 und 3). 3. Auch für den Genugtuungsanspruch - auf den die Haftungsbeschränkung nicht anwendbar ist - gilt die Verjährungsfrist von Art. 60 OR (Erw. 4).</w:t>
      </w:r>
    </w:p>
    <w:p>
      <w:r>
        <w:t>Regeste Art. 128 ch. 3 et 129 LAMA. 1. L'abrogation des dispositions de la LRC et leur remplacement par celles du CO, de même que la limitation de la responsabilité aux cas où l'employeur a causé l'accident intentionnellement ou par une faute grave, s'appliquent non seulement aux ouvriers et employés assurés obligatoirement, mais aussi à leurs survivants (consid. 1). 2. Les dispositions du CO sont applicables de façon générale et la responsabilité est limitée indépendamment des causes juridiques dont elle découle en droit commun (consid. 2 et 3). 3. Le droit à une réparation morale - qui n'est pas visé par la limitation de la responsabilité - est également soumis au délai de prescription de l'art. 60 CO (consid. 4).</w:t>
      </w:r>
    </w:p>
    <w:p>
      <w:r>
        <w:t>Regesto Art. 128 cifra 3 e 129 LAMI. 1. L'abrogazione delle disposizioni della LResp.C e la loro sostituzione con le disposizioni del CO come pure la limitazione della responsabilità secondo il CO ai casi in cui l'infortunio sia stato cagionato dal datore di lavoro con intenzione o per colpa grave valgono nei confronti non solo degli operai e impiegati obbligatoriamente assicurati, bensi anche dei loro superstiti (consid. 1). 2. Le disposizioni del CO sono applicabili in generale e la limitazione della responsabilità è indipendente dalle cause giuridiche da cui la responsabilità è derivata secondo le norme del diritto comune (consid. 2 e 3). 3. Anche per la riparazione del torto morale - cui la limitazione della responsabilità non è applicabile - è determinante il termine di prescrizione dell'art. 60 CO (consid. 4).</w:t>
      </w:r>
    </w:p>
    <w:p>
      <w:pPr>
        <w:pStyle w:val="Heading2"/>
      </w:pPr>
      <w:r>
        <w:t>Erwägungen</w:t>
      </w:r>
    </w:p>
    <w:p>
      <w:r>
        <w:rPr>
          <w:b/>
        </w:rPr>
        <w:t>E. 1</w:t>
      </w:r>
    </w:p>
    <w:p>
      <w:r>
        <w:t>Nel loro gravame per riforma, gli attori contestano avantutto che all'azione per risarcimento dei danni siano applicabili le disposizioni generali del Codice delle obbligazioni. Secondo il loro modo di vedere, la responsabilità causale prevista dalla LResp.C sarebbe infatti stata abrogata soltanto per ciò che riguarda i rapporti tra il datore di lavoro e gli impiegati e operai obbligatoriamente assicurati dell'azienda stessa o quelli, occupati nella costruzione di ferrovie, di altre imprese, ma non per quanto concerne le pretese dei terzi, in particolare dei superstiti. Ciò risulterebbe dall'art. 17 della legge 18 giugno 1915 di complemento alla LAMI, e cioè dal vigente art. 128 N. 3 LAMI, in unione con l'art. 13 LResp. C. Ora, è bensì vero che nell'art. 13 cp. 1 LResp. C si menziona, a proposito dell'indennità dovuta dall'impresa ferroviaria, la deduzione della somma d'assicurazione corrisposta alla persona lesa o "agli aventi causa del morto". Altrettanto esatto è che in virtù dell'art. 17 della citata legge di complemento alla LAMI furono "segnatamente" abrogate le disposizioni della LResp. C "per quanto riguardano la responsabilità civile di queste BGE 81 II 547 S. 550 imprese per infortuni occorsi in servizio ai propri impiegati e operai assicurati obbligatoriamente nonchè agli impiegati e operai assicurati obbligatoriamente di altre imprese occupati nella costruzione di strade ferrate". Tuttavia, dalla circostanza che la disposizione abrogativa della LResp.C, a differenza dell'art. 13 cp. 1 LResp. C, non parli più esplicitamente degli aventi causa del morto non può essere dedotto che l'abrogazione di cui si tratta valga unicamente per gli impiegati e gli operai dell'impresa ferroviaria, con esclusione dei loro superstiti cui la LResp.C continuerebbe a essere applicabile. Mediante la revisione 18 giugno 1915, il legislatore ha infatti semplicemente voluto equiparare agli impiegati e operai delle imprese ferroviarie quelli di altre imprese che sono vittime di un infortunio nella costruzione di una ferrovia e che prima della revisione potevano far valere pretese di risarcimento in base alla LResp.C oltre che alla LAMI. A ciò si aggiunga che nemmeno il precedente testo dell'art. 128 N. 4 LAMI menzionava i superstiti. Nella sua linearità, esso era cionondimeno assai più comprensibile, in quanto si limitava a definire oggettivamente una precisa categoria d'infortuni cui la LResp.C cessava di essere applicabile: "quelli cioè da cui vengono colpiti gli impiegati o gli operai delle imprese ferroviarie". In tali circostanze, a torto i ricorrenti vorrebbero fondare la loro tesi sulla revisione della LAMI nel 1915. Come il Consiglio federale ha più volte rilevato nel relativo messaggio del 6 aprile 1915, "l'assicurazione obbligatoria contro gli infortuni sostituisce la responsabilità civile dell'imprenditore. Di conseguenza, l'art. 128 LAMI abroga le leggi sulla responsabilità civile nella misura in cui riguardano i rapporti del titolare dell'impresa con i lavoratori e, a sua volta, l'art. 129 limita la responsabilità del datore di lavoro secondo il Codice delle obbligazioni agli infortuni cagionati con intenzione o per colpa grave" (FF 1915, ed. ted., I 934). Il medesimo concetto - dell'assicurazione obbligatoria BGE 81 II 547 S. 551 che sostituisce la responsabilità civile - è dal Consiglio federale ancora ribadito più volte, tra l'altro con riferimento al previsto scioglimento delle assicurazioni private. Anche a questo riguardo, esso rileva esplicitamente, dopo aver osservato che l'obbligo di pagare premi all'INSAI e l'abrogazione delle leggi sulla responsabilità civile comportano per gli imprenditori con lavoratori obbligatoriamente assicurati una situazione nuova, che la responsabilità secondo il Codice delle obbligazioni è ormai limitata ai casi di dolo o di colpa grave (p. 935 del messaggio citato). Nè il Consiglio federale si limita a tale costatazione, ma soggiunge che la nuova situazione esclude una continuazione delle assicurazioni private, il cui scopo e la cui giustificazione economica più non sussistono nella misura in cui si riferiscono a lavoratori obbligatoriamente assicurati. Nemmeno per la parte del danno non coperta dall'assicurazione obbligatoria si giustifica in avvenire la continuazione e la conclusione di assicurazioni complementari - considera ancora il Consiglio federale. Infatti, dopo la completa trasformazione delle prescrizioni legali in materia di responsabilità civile con l'adozione degli art. 128 e 129 cp. 2 LAMI, un'assicurazione complementare privata per la parte scoperta del danno, quale poteva essere conclusa prima dell'entrata in vigore della LAMI, non è più atta a completare l'assicurazione obbligatoria legale, che rappresenta un ordinamento totalmente diverso con princìpi e scopi altrettanto diversi (messaggio citato, p. 946). Tenuto conto di queste considerazioni, non si vede invero perchè i superstiti avrebbero ancora dovuto essere menzionati espressamente nell'art. 17 della legge 18 giugno 1915, tanto più quando si consideri che le leggi abrogate già disciplinavano le pretese dei superstiti (cf. art. 1, 2, 13 LResp.C). In realtà, i superstiti non sono più stati menzionati semplicemente perchè era normale che il nuovo disciplinamento previsto dalla LAMI BGE 81 II 547 S. 552 (art. 83-86, 89, 95 sgg., ecc.) si estendesse anche alle loro pretese. Ancora più esplicito, per ciò che riguarda l'inclusione dei superstiti nell'ordinamento previsto dalla LAMI, è il messaggio del Consiglio federale 10 dicembre 1906 (FF 1906, ed. ted., IV, pag. 229 sgg.). Così, vi si rileva - con riferimento al sistema della responsabilità civile fino allora in vigore - l'impossibilità per la persona lesa "o i suoi aventi causa" di ottenere il pagamento dell'indennità da un datore di lavoro insolvibile (p. 313) e come sia preferibile, per ciò che riguarda il risarcimento dovuto in virtù dell'art. 2 LResp.C ai superstiti rimasti privi del loro sostegno, un sistema il quale stabilisca direttamente nella legge la parte di guadagno cui i diversi superstiti hanno diritto. Convincenti sono poi le spiegazioni fornite circa l'art. 96 del disegno di legge, cui corrisponde l'attuale art. 129 LAMI. A questo proposito è anzi citato un esempio identico al caso in discussione: "Il datore di lavoro dell'assicurato cagiona con colpa lieve un infortunio mortale. L'Istituto non ha un diritto di regresso verso il datore di lavoro per le rendite pagate ai superstiti e questi non possono chiedere il risarcimento del maggiore danno al datore di lavoro" (p. 402). Così stando le cose, nè la revisione della LAMI nel 1915 nè il messaggio del 1906 possono giustificare la tesi dei ricorrenti, che non trova inoltre conforto alcuno nella giurisprudenza del Tribunale federale. Questa ha infatti sempre interpretato l'art. 129 LAMI nel senso che la limitazione della responsabilità secondo il Codice delle obbligazioni vale parimente per i superstiti (RU 72 II 311 sgg.; 68 II 287 sgg.).</w:t>
      </w:r>
    </w:p>
    <w:p>
      <w:r>
        <w:rPr>
          <w:b/>
        </w:rPr>
        <w:t>E. 2</w:t>
      </w:r>
    </w:p>
    <w:p>
      <w:r>
        <w:t>Oltre al postulato di un'interpretazione restrittiva dell'art. 128 N. 3 LAMI, i ricorrenti sostengono in via subordinata che la sostituzione prevista nell'art. 129 cp. 2 LAMI può semmai essere di natura esclusivamente sostanziale, cosicchè non dovrebbe in ogni modo valere per la prescrizione, cui continuerebbe a essere applicabile l'art. 14 cp. 1 LResp.C. BGE 81 II 547 S. 553 Senonchè, la prescrizione fa parte del diritto sostanziale, pur prescindendo dalla circonstanza che l'art. 129 LAMI dichiara le disposizioni del Codice delle obbligazioni applicabili in generale, senza discriminazioni di sorta. Inoltre, già il Consiglio federale aveva rilevato - nel suo messaggio del 1906 - che le persone fino a quel momento al beneficio delle leggi sulla responsabilità avrebbero in avvenire dovuto, se erano assicurate, porsi sul terreno del diritto comune, e cioè degli art. 50 sgg . e 110 sgg. del vecchio Codice delle obbligazioni (p. 401 del messaggio). Ne segue che l'azione dei ricorrenti è effettivamente prescritta, come il Tribunale cantonale ha ritenuto nella sentenza querelata. Tutt'al più, questa deve, per ciò che riguarda l'avvenuta prescrizione, essere rettificata nel senso che i precetti esecutivi datano del 1952 e non del 1950, come il Tribunale di appello ha ammesso in seguito a una svista manifesta (art. 63 cp. 2 OG).</w:t>
      </w:r>
    </w:p>
    <w:p>
      <w:r>
        <w:rPr>
          <w:b/>
        </w:rPr>
        <w:t>E. 3</w:t>
      </w:r>
    </w:p>
    <w:p>
      <w:r>
        <w:t>Per il rimanente, non giova ai ricorrenti invocare gli art. 55 e 339 CO relativi alla responsabilità causale. Secondo la giurisprudenza costante del Tribunale federale, la limitazione della responsabilità prevista dall'art. 129 cp. 2 LAMI è infatti indipendente dalle cause giuridiche da cui la responsabilità è derivata secondo le norme del diritto comune (RU 72 II 429 sgg. e sentenze ivi citate; 81 II 224 ). Del resto, la situazione non sarebbe più favorevole per i ricorrenti nemmeno se la vittima dell'infortunio avesse potuto far valere pretese contrattuali in virtù dell'art. 339 CO, in quanto il loro diritto di risarcimento scaturirebbe pur sempre dalla morte della vittima e come tale non conferirebbe loro la situazione di parte contraente (OSER /SCHÖNENBERGER, ad art. 339 N. 18). Anche in tale ipotesi sarebbe di conseguenza determinante la prescrizione di un anno prevista dall'art. 60 CO e non quella contrattuale di dieci anni.</w:t>
      </w:r>
    </w:p>
    <w:p>
      <w:r>
        <w:rPr>
          <w:b/>
        </w:rPr>
        <w:t>E. 4</w:t>
      </w:r>
    </w:p>
    <w:p>
      <w:r>
        <w:t>Come il Tribunale federale ha più volte statuito, BGE 81 II 547 S. 554 la limitazione della responsabilità prevista dall'art. 129 cp. 2 LAMI non si estende alla riparazione del torto morale (RU 72 II 314 sgg. e 429, consid. 7). Tuttavia, anche questa pretesa è prescritta, giacchè per i motivi esposti più sopra non può essere condivisa l'opinione dei ricorrenti secondo cui sarebbe applicabile la prescrizione biennale dell'art. 14 LResp.C. Dispositiv Il Tribunale federale pronuncia: Il ricorso per riforma è respinto. Di conseguenza, la querelata sentenza 26 aprile 1955 della Camera civile del Tribunale d'appello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