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475</w:t>
      </w:r>
    </w:p>
    <w:p>
      <w:r>
        <w:t>Bundesgericht (BGE), 1955-01-01, FR</w:t>
      </w:r>
    </w:p>
    <w:p>
      <w:r>
        <w:rPr>
          <w:b/>
        </w:rPr>
        <w:t xml:space="preserve">Quelle: </w:t>
      </w:r>
      <w:r>
        <w:t>https://mcp.opencaselaw.ch/entscheid/bge_BGE_81_II_475</w:t>
      </w:r>
    </w:p>
    <w:p>
      <w:r>
        <w:t>FR: ATF 81 II 475</w:t>
      </w:r>
    </w:p>
    <w:p>
      <w:r>
        <w:t>IT: DTF 81 II 475</w:t>
      </w:r>
    </w:p>
    <w:p>
      <w:pPr>
        <w:pStyle w:val="Heading2"/>
      </w:pPr>
      <w:r>
        <w:t>Regeste</w:t>
      </w:r>
    </w:p>
    <w:p>
      <w:r>
        <w:t>Regeste Revision, Art. 137 lit. a OG. 1. Zulässigkeit (Erw. 1). 2. Es genügt, dass die strafbare Handlung die tatsächlichen Feststellungen des kantonalen Entscheids beeinflusst hat (Erw. 2 a). 3. Voraussetzungen, unter denen die Revisionsinstanz selber über das Vorliegen einer strafbaren Handlung entscheiden kann (Erw. 2 b).</w:t>
      </w:r>
    </w:p>
    <w:p>
      <w:r>
        <w:t>Regeste Demande de revision, art. 137 litt. a OJ. 1. Conditions de recevabilité (consid. 1). 2. Il suffit que l'infraction ait influencé les constatations de fait du jugement cantonal (consid. 2 a). 3. Quand l'autorité de revision peut-elle se prononcer elle-même sur l'existence de l'infraction? (consid. 2 b).</w:t>
      </w:r>
    </w:p>
    <w:p>
      <w:r>
        <w:t>Regesto Domanda di revisione, art. 137 lett. a OG. 1. Ricevibilità (consid. 1). 2. Basta che il reato abbia influito sugli accertamenti di fatto della sentenza cantonale (consid. 2 a). 3. Quando l'autorità di revisione può pronunciarsi essa stessa sull'esistenza del reato? (consid. 2 b).</w:t>
      </w:r>
    </w:p>
    <w:p>
      <w:pPr>
        <w:pStyle w:val="Heading2"/>
      </w:pPr>
      <w:r>
        <w:t>Erwägungen</w:t>
      </w:r>
    </w:p>
    <w:p>
      <w:r>
        <w:rPr>
          <w:b/>
        </w:rPr>
        <w:t>E. 1</w:t>
      </w:r>
    </w:p>
    <w:p>
      <w:r>
        <w:t>Lamalex SA soutient que Finger n'a pas établi l'existence d'un faux témoignage à la charge de Bertet. Dès lors, dit-elle, il invoque un simple fait, savoir le règlement de compte qui serait intervenu le 1er mars 1949; en réalité, la demande de revision est donc fondée sur l'art. 137 litt. b OJ; mais, comme Finger connaissait ce fait depuis longtemps, il aurait dû présenter sa demande dans les 90 jours dès la communication écrite de l'arrêt du Tribunal fédéral (art. 141 litt. b OJ); cette condition n'étant pas remplie, la demande de revision est irrecevable. Ce raisonnement confond la forme et le fond. Certes, à lire la version française des art. 136 et 137 OJ, on pourrait croire que les motifs de revision sont des conditions de recevabilité de la demande. Mais ce texte, qui ne correspond BGE 81 II 475 S. 478 pas exactement, du reste, à la version allemande, est imprécis et ne saurait être interprété littéralement. Il est évident, en effet, que si l'un des motifs énumérés aux art. 136 et 137 OJ est donné, la demande de revision doit être admise au fond; elle n'est pas seulement recevable. Pour que le Tribunal fédéral puisse connaître d'une demande fondée sur l'art. 137 litt. a OJ, il n'est donc pas nécessaire que les conditions exigées par cette disposition soient remplies. Il suffit que le requérant le prétende et que, pour le reste, la demande de revision satisfasse aux conditions de recevabilité requises par la loi (cf. notamment art. 140 et 141 OJ). C'est le cas en l'espèce. Finger soutient que l'arrêt du 1er février 1954 a été influencé à son détriment par un faux témoignage qu'a établi l'action pénale intentée à Bertet. En outre, il est constant que les autres conditions de recevabilité sont remplies. En particulier, la demande de revision a été présentée, conformément à l'art. 141 litt. b OJ, dans les 90 jours qui ont suivi la communication écrite de la clôture de la procédure pénale. Dès lors, le Tribunal fédéral peut entrer en matière.</w:t>
      </w:r>
    </w:p>
    <w:p>
      <w:r>
        <w:rPr>
          <w:b/>
        </w:rPr>
        <w:t>E. 2</w:t>
      </w:r>
    </w:p>
    <w:p>
      <w:r>
        <w:t>a) Le faux témoignage allégué par Finger n'a pu influencer immédiatement que les constatations de fait du jugement cantonal. Mais elles liaient la juridiction de réforme. Si cette infraction a été commise, elle a donc exercé une action indirecte sur l'arrêt fédéral. Cela suffit pour qu'il ait été influencé selon l'art. 137 litt. a OJ (RO 25 II 691 consid. 2, 60 II 357). En outre, cette action eût été défavorable au requérant, puisque la demande de Lamalex SA aurait dû être rejetée si le règlement de compte invoqué par lui avait été établi. b) En l'espèce, l'action pénale était possible. Aussi bien la plainte de Finger a-t-elle donné lieu à une procédure pénale, dans laquelle toutes les preuves pertinentes ont pu être administrées. Selon l'art. 137 litt. a OJ, le faux témoignage allégué ne peut donc être établi que par cette procédure elle-même. BGE 81 II 475 S. 479 Cependant, d'après cette disposition, on peut admettre l'existence de l'infraction même si son auteur n'a pas été condamné. Finger semble en déduire que le Tribunal fédéral, lorsqu'il est saisi d'une demande de revision fondée sur l'art. 137 litt. a OJ, doit toujours apprécier les preuves administrées dans la procédure pénale et juger librement si l'infraction alléguée a été commise. Cette opinion est erronée. En principe, le juge de la revision est lié sur ce point par la sentence de l'autorité de répression (cf. RO 59 II 194, 64 II 44 consid. 2). L'examen du juge civil n'est libre que si la juridiction pénale n'a pu se prononcer sur la commission même de l'infraction, lorsque, par exemple, l'inculpé est décédé ou est devenu incapable de discernement avant le jugement (cf. message du Conseil fédéral du 9 février 1943, FF 1943 I p. 157). En revanche, si l'autorité de répression a jugé, soit par un non-lieu, soit par un prononcé d'acquittement, que les éléments de l'infraction n'étaient pas réunis, cette décision ne peut être revue par le Tribunal fédéral. Par son ordonnance de classement du 3 décembre 1954, le Procureur général a prononcé que le faux témoignage dont Bertet était accusé n'était pas suffisamment établi pour qu'on pût le retenir. Ainsi, la procédure pénale n'a pas prouvé que l'arrêt du Tribunal fédéral du 1er février 1954 eût été influencé par un crime ou un délit au détriment de Finger. Les conditions de l'art. 137 litt. a OJ n'étant dès lors pas remplies, la demande de revision doit être rejetée.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