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429</w:t>
      </w:r>
    </w:p>
    <w:p>
      <w:r>
        <w:t>Bundesgericht (BGE), 1955-01-01, FR</w:t>
      </w:r>
    </w:p>
    <w:p>
      <w:r>
        <w:rPr>
          <w:b/>
        </w:rPr>
        <w:t xml:space="preserve">Quelle: </w:t>
      </w:r>
      <w:r>
        <w:t>https://mcp.opencaselaw.ch/entscheid/bge_BGE_81_II_429</w:t>
      </w:r>
    </w:p>
    <w:p>
      <w:r>
        <w:t>FR: ATF 81 II 429</w:t>
      </w:r>
    </w:p>
    <w:p>
      <w:r>
        <w:t>IT: DTF 81 II 429</w:t>
      </w:r>
    </w:p>
    <w:p>
      <w:pPr>
        <w:pStyle w:val="Heading2"/>
      </w:pPr>
      <w:r>
        <w:t>Regeste</w:t>
      </w:r>
    </w:p>
    <w:p>
      <w:r>
        <w:t>Regeste Art. 621 Abs. 1 Z GB bezieht sich nicht nur auf die persönlichen Verhältnisse der Erben, die die Zuweisung verlangen, sondern aller Erben. Berücksichtigung der Interessen der andern Erben.</w:t>
      </w:r>
    </w:p>
    <w:p>
      <w:r>
        <w:t>Regeste L'art. 621 al. 1 CC se réfère non seulement à la situation personnelle des héritiers qui demandent l'attribution mais à celle de tous les héritiers. Prise en considération des intérêts des autres héritiers.</w:t>
      </w:r>
    </w:p>
    <w:p>
      <w:r>
        <w:t>Regesto L'art. 621 cp. 1 CC non si riferisce soltanto alle condizioni personali degli eredi che chiedono l'attribuzione, ma a quelle di tutti gli eredi. Esame degli interessi dei coeredi.</w:t>
      </w:r>
    </w:p>
    <w:p>
      <w:pPr>
        <w:pStyle w:val="Heading2"/>
      </w:pPr>
      <w:r>
        <w:t>Erwägungen</w:t>
      </w:r>
    </w:p>
    <w:p>
      <w:r>
        <w:rPr>
          <w:b/>
        </w:rPr>
        <w:t>E. 3</w:t>
      </w:r>
    </w:p>
    <w:p>
      <w:r>
        <w:t>La Cour cantonale constate que Maurice Mauroux ne s'entend pas avec sa mère, qui a été victime de ses menaces et de ses grossièretés. Elle admet que si le domaine était attribué au recourant, dame Célina Mauroux devrait quitter la ferme familiale, ce qui aurait pour conséquence de diminuer pratiquement son usufruit et d'obliger les autres héritiers à contribuer à son entretien. En revanche, si l'exploitation est reprise par Paul Mauroux, la mère sera accueillie à son foyer avec la déférence et les égards qui lui sont dus; c'est pour ce motif que les autres héritiers demandent que le domaine soit attribué à Paul Mauroux. C'est à tort que le recourant fait grief à la Cour cantonale d'avoir tenu compte de ces faits et d'avoir pris en considération les conséquences que l'attribution à l'un ou l'autre des compétiteurs aurait pour leurs cohéritiers. Contrairement à l'opinion de Maurice Mauroux, l'art. 621 al. 1 CC se réfère non seulement à la situation personnelle des héritiers qui demandent l'attribution mais à celle de tous les héritiers. Il ne saurait dès lors y avoir violation du droit fédéral lorsque, mise en présence de compétiteurs BGE 81 II 429 S. 431 également aptes à se charger de l'exploitation, l'autorité donne la préférence à l'un d'eux pour le motif que l'attribution à celui-ci est dans l'intérêt des autres héritiers. L'attribution d'une entreprise agricole à la valeur de rendement, conformément aux art. 620 ss. CC, porte atteinte au principe de l'égalité entre les héritiers et assure ainsi un avantage économique certain à celui qui l'obtient. Cette réglementation trouve sa justification dans le but qui lui est assigné et qui est de conserver au pays un paysannat capable, travailleur et attaché à la terre. En raison précisément de la diminution des prétentions des autres héritiers qu'implique ce droit successoral spécial, il y a lieu de tenir compte de leurs intérêts et de ne pas rendre plus lourds, sans nécessité, les sacrifices qui leur sont imposés pour atteindre le but de la loi. Il suit de là que c'est à juste titre que la Cour cantonale a décidé d'attribuer le domaine litigieux à Paul Mauroux plutôt qu'au recourant et que les griefs formulés par celui-ci contre l'arrêt attaqué ne sont pas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