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427</w:t>
      </w:r>
    </w:p>
    <w:p>
      <w:r>
        <w:t>Bundesgericht (BGE), 1954-11-25, DE</w:t>
      </w:r>
    </w:p>
    <w:p>
      <w:r>
        <w:rPr>
          <w:b/>
        </w:rPr>
        <w:t xml:space="preserve">Quelle: </w:t>
      </w:r>
      <w:r>
        <w:t>https://mcp.opencaselaw.ch/entscheid/bge_BGE_81_II_427</w:t>
      </w:r>
    </w:p>
    <w:p>
      <w:r>
        <w:t>FR: ATF 81 II 427</w:t>
      </w:r>
    </w:p>
    <w:p>
      <w:r>
        <w:t>IT: DTF 81 II 427</w:t>
      </w:r>
    </w:p>
    <w:p>
      <w:pPr>
        <w:pStyle w:val="Heading2"/>
      </w:pPr>
      <w:r>
        <w:t>Regeste</w:t>
      </w:r>
    </w:p>
    <w:p>
      <w:r>
        <w:t>Regeste Verwandtenunterstützung. Umfang des Anspruchs (Art. 329 Abs. 1 ZGB).</w:t>
      </w:r>
    </w:p>
    <w:p>
      <w:r>
        <w:t>Regeste Dette alimentaire. Etendue du droit du créancier (art. 329 al. 1 CC).</w:t>
      </w:r>
    </w:p>
    <w:p>
      <w:r>
        <w:t>Regesto Assistenza tra i parenti. Oggetto dell'azione di assistenza (art. 329 cp. 1 CC).</w:t>
      </w:r>
    </w:p>
    <w:p>
      <w:pPr>
        <w:pStyle w:val="Heading2"/>
      </w:pPr>
      <w:r>
        <w:t>Volltext</w:t>
      </w:r>
    </w:p>
    <w:p>
      <w:r>
        <w:t>Bundesgericht (BGE) Band II 1955 BGE 81 II 427 Tribunal fédéral (ATF) Volume II 1955 BGE 81 II 427 Tribunale federale (DTF) Volume II 1955 BGE 81 II 427</w:t>
      </w:r>
    </w:p>
    <w:p>
      <w:r>
        <w:t>Regeste Verwandtenunterstützung. Umfang des Anspruchs (Art. 329 Abs. 1 ZGB). Regeste Dette alimentaire. Etendue du droit du créancier (art. 329 al. 1 CC). Regesto Assistenza tra i parenti. Oggetto dell'azione di assistenza (art. 329 cp. 1 CC).</w:t>
      </w:r>
    </w:p>
    <w:p>
      <w:r>
        <w:t>Urteilskopf 81 II 427 65. Auszug aus dem Urteil der II. Zivilabteilung vom 17. November 1955 i S. Kläsi gegen Kläsi. Regeste Verwandtenunterstützung. Umfang des Anspruchs ( Art. 329 Abs. 1 ZGB ). Erwägungen ab Seite 427 BGE 81 II 427 S. 427 Aus den Erwägungen: In materieller Hinsicht macht der Beklagte geltend, die Vorinstanz habe zwar in Übereinstimmung mit der bundesgerichtlichen Praxis (Urteil vom 25. November 1954 i.S. Ditscher) festgestellt, dass der Verwandtenunterstützungsanspruch auf den Notbedarf begrenzt bleibe, auch wenn der Pflichtige in der Lage sei, mehr zu leisten; dagegen habe sie Bundesrecht verletzt, indem sie zwischen dem armenrechtlichen und einem höhern zivilrechtlichen Existenzminimum unterschieden und auf dieses letzte abgestellt habe, obwohl nicht einzusehen sei, weshalb ein Berechtigter bei direkter Unterstützung durch Verwandte mehr erhalten sollte als bei Unterstützung durch die zuständige Behörde; auf diese Weise habe die Vorinstanz der Klägerin einen Beitrag zugesprochen, der sich nicht nach ihrem Notbedarf, sondern in Wirklichkeit nach der Leistungsfähigkeit des Beklagten richte. Diese Rüge ist unbegründet. Welche Leistung im Sinne von Art. 329 ZGB zum Lebensunterhalt des Bedürftigen erforderlich sei, bestimmt sich unabhängig vom sog. armenrechtlichen Existenzminimum, d.h. vom Betrage, den die Armenbehörden zum Richtsatz nehmen würden, um zu entscheiden, ob und in welchem Umfange dem Bedürftigen Armenunterstützung zu gewähren sei. Die Unterstützungspflicht im Sinne von Art. 328 ff. ZGB , die auf naher Verwandtschaft beruht, und die Armenunterstützung durch das Gemeinwesen sind zwei ganz verschiedene Dinge. Den unterstützungspflichtigen Verwandten darf mehr zugemutet BGE 81 II 427 S. 428 werden und wird durch die Vorschrift, dass sie dem Bedürftigen das für den Lebensunterhalt Erforderliche zu gewähren haben, mehr zugemutet als nur die Beseitigung einer Notlage, die so krass ist, dass sie beim Ausbleiben genügender privater Hilfe aus Gründen der öffentlichen Ordnung mit öffentlichen Mitteln behoben werden muss. Der vom Beklagten angerufene Art. 329 Abs. 3 ZGB kann nicht zu einer andern Auffassung führen. Der Armenbehörde, die den Bedürftigen unterstützt, steht freilich ein Ersatzanspruch gegenüber den unterstützungspflichtigen Verwandten (vgl. BGE 76 II 114 E. 2) nur im Rahmen der von ihr vor der Klageeinleitung tatsächlich geleisteten Unterstützung zu. Dagegen kann sie unter dem Titel der laufenden Unterstützung zugunsten des Bedürftigen sehr wohl einen Betrag einklagen, der über die Leistungen hinausgeht, welche der Bedürftige von der öffentlichen Armenpflege zu erwarten hätte. Wollte man aber noch annehmen, es könne nicht Sache der Armenbehörde sein, einen solchen Mehrbetrag geltend zu machen, so müsste man dem Bedürftigen die Befugnis zugestehen, dies selber zu tun. Aus Art. 329 Abs. 3 ZGB folgt also keineswegs, dass die Verwandtenunterstützung sich auf das sog. armenrechtliche Existenzminimum beschränke.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