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391</w:t>
      </w:r>
    </w:p>
    <w:p>
      <w:r>
        <w:t>Bundesgericht (BGE), 1955-01-01, DE</w:t>
      </w:r>
    </w:p>
    <w:p>
      <w:r>
        <w:rPr>
          <w:b/>
        </w:rPr>
        <w:t xml:space="preserve">Quelle: </w:t>
      </w:r>
      <w:r>
        <w:t>https://mcp.opencaselaw.ch/entscheid/bge_BGE_81_II_391</w:t>
      </w:r>
    </w:p>
    <w:p>
      <w:r>
        <w:t>FR: ATF 81 II 391</w:t>
      </w:r>
    </w:p>
    <w:p>
      <w:r>
        <w:t>IT: DTF 81 II 391</w:t>
      </w:r>
    </w:p>
    <w:p>
      <w:pPr>
        <w:pStyle w:val="Heading2"/>
      </w:pPr>
      <w:r>
        <w:t>Regeste</w:t>
      </w:r>
    </w:p>
    <w:p>
      <w:r>
        <w:t>Regeste Internationales Privatrecht. Rück- und Weiterverweisungen der Rechtsordnung, auf die die Parteien sich geeinigt haben oder mit der ihr Rechtsverhältnis räumlich am engsten zusammenhängt, sind nicht zu beachten.</w:t>
      </w:r>
    </w:p>
    <w:p>
      <w:r>
        <w:t>Regeste Droit international privé. La législation que les parties ont désignée ou avec laquelle leurs liens juridiques sont dans le rapport territorial le plus étroit est applicable même si elle renvoie à un autre droit.</w:t>
      </w:r>
    </w:p>
    <w:p>
      <w:r>
        <w:t>Regesto Diritto internazionale privato. La legge designata dalle parti o quella del paese col quale il loro rapporto contrattuale è nel più stretto nesso territoriale è applicabile anche se essa rinvia a un'altra legge.</w:t>
      </w:r>
    </w:p>
    <w:p>
      <w:pPr>
        <w:pStyle w:val="Heading2"/>
      </w:pPr>
      <w:r>
        <w:t>Erwägungen</w:t>
      </w:r>
    </w:p>
    <w:p>
      <w:r>
        <w:rPr>
          <w:b/>
        </w:rPr>
        <w:t>E. 1</w:t>
      </w:r>
    </w:p>
    <w:p>
      <w:r>
        <w:t>Da nach Art. 43 Abs. 1 OG das Bundesgericht über die materiellen Rechtsfolgen des streitigen Verhältnisses nur zu urteilen hat, wenn dieses dem schweizerischen Recht BGE 81 II 391 S. 393 untersteht, ist von Amtes wegen zu prüfen, welches Recht anwendbar ist ( BGE 78 II 77 ).</w:t>
      </w:r>
    </w:p>
    <w:p>
      <w:r>
        <w:rPr>
          <w:b/>
        </w:rPr>
        <w:t>E. 2</w:t>
      </w:r>
    </w:p>
    <w:p>
      <w:r>
        <w:t>Nach der Rechtsprechung des Bundesgerichts unterstellt das internationale Schuldrecht der Schweiz den Vertrag hinsichtlich seiner Wirkungen dem Rechte, das die Parteien anlässlich des Abschlusses ausdrücklich oder stillschweigend vereinbart haben, und mangels einer Vereinbarung dem Rechte jenes Staates, mit dem der Vertrag räumlich am engsten zusammenhängt ( BGE 78 II 77 f.). Die Guaranty AG und die Astra haben sich weder ausdrücklich noch stillschweigend auf ein bestimmtes Recht geeinigt. Unter dem Gesichtspunkt der räumlichen Beziehungen des Rechtsverhältnisses aber ist italienisches Recht anzuwenden. Für dieses sprechen die Leistung, welche die Beklagte der Klägerin versprochen hat, und der Ort, an dem sie zu erbringen war: Die Klägerin hatte Anspruch darauf, dass italienische Währung aus einem im jugoslawisch-italienischen Verrechnungsverkehr entstandenen Guthaben an einen von ihr in Italien bezeichneten Dritten gelange. Insofern hält die Auffassung der Vorinstanz vor dem eidgenössischen Rechte stand.</w:t>
      </w:r>
    </w:p>
    <w:p>
      <w:r>
        <w:rPr>
          <w:b/>
        </w:rPr>
        <w:t>E. 3</w:t>
      </w:r>
    </w:p>
    <w:p>
      <w:r>
        <w:t>Nicht beizupflichten ist dem Handelsgerichte dagegen darin, dass schweizerisches Recht angewendet werden müsse, weil Art. 25 der einleitenden Bestimmungen des italienischen Zivilgesetzbuches das am Orte des Vertragsschlusses geltende Recht angewendet wissen wolle, wenn die Parteien nicht einem gemeinsamen Heimatrecht unterstehen. Dass diese Verweisung nicht zu beachten wäre, wenn die Parteien ausdrücklich oder stillschweigend die Anwendung des italienischen Rechts vereinbart hätten, ist klar. Mit einer dahin gehenden Vereinbarung hätten sie nicht den Willen bekundet, dass die italienische Kollisionsnorm, sondern dass das italienische materielle Recht angewendet werde. Denn wer schon daran denkt, die Frage des anwendbaren Rechts im Vertrage zu ordnen, bleibt nicht auf halbem Wege stehen, indem er lediglich auf eine Kollisionsnorm BGE 81 II 391 S. 394 hinweist. Will er überhaupt den Umweg über eine solche einschlagen, so hat er allen Anlass, ihren Inhalt wiederzugeben und mit ihrer Hilfe gerade auch die Sachnorm zu ermitteln, die den Vertrag beherrschen soll. Es kann aber auch nicht Sinn des schweizerischen internationalen Schuldrechts sein, an den engsten räumlichen Zusammenhang des Rechtsverhältnisses mit einem bestimmten Staate lediglich die Folge zu knüpfen, dass die Kollisionsnorm dieses Staates anzuwenden wäre. Auf den engsten räumlichen Zusammenhang wird nicht abgestellt, damit die Frage des anwendbaren materiellen Rechts überhaupt irgendwie entschieden werden könne, sondern weil der schweizerische Richter dafür hält, mangels abweichender Parteivereinbarung sei die materielle Rechtsordnung des Staates, mit dessen Gebiet das Rechtsverhältnis am engsten verbunden ist, die objektiv richtige, sich aufdrängende. Früher wurde denn auch die Anwendung des Rechts des engsten räumlichen Zusammenhangs damit begründet, die Parteien hätten sich vernünftigerweise für dieses Recht entschieden, wenn sie beim Vertragsschluss an die Regelung der Frage gedacht hätten ( BGE 60 II 300 f.; BGE 63 II 43 f., 307; BGE 64 II 92 ; BGE 65 II 80 f., 169; BGE 68 II 207 ; BGE 75 II 62 ; BGE 76 II 48 ). Dass diese Begründung die Beachtung von Rück- oder Weiterverweisungen ausschloss, liegt auf der Hand; denn sowenig wie von einem beim Vertragsschluss geäusserten, kann von einem bloss hypothetischen Parteiwillen gesagt werden, er sei vernünftigerweise nur auf Bestimmung einer Kollisionsnorm, nicht der Sachnorm selbst gerichtet. Dass seitBGE 78 II 74ff. die Rechtsprechung das anwendbare Recht nicht mehr auf dem Umweg über einen hypothetischen Parteiwillen, sondern unmittelbar anhand der engsten räumlichen Beziehungen bestimmt, führt zu keiner anderen Lösung; denn damit ist lediglich die Begründung, nicht das Ergebnis berichtigt worden. Was vom Standpunkt der Parteien aus unzweckmässig wäre, nämlich im engsten räumlichen Zusammenhang lediglich einen Anknüpfungsbegriff zur Ermittlung einer anwendbaren BGE 81 II 391 S. 395 Kollisionsnorm, nicht der Sachnorm selbst zu sehen, kann auch nicht Inhalt des objektiven internationalen Schuldrechts der Schweiz sein. Wenn davon ausgegangen wird, der schweizerische Richter habe das Recht jenes Staates anzuwenden, mit dem das Rechtsverhältnis am engsten verbunden ist, so geschieht das, weil nach schweizerischer Auffassung materiell diese Rechtsordnung die geeignetste ist. Sie dann doch nicht anzuwenden, weil im betreffenden Staate eine Kollisionsnorm gilt, die auf schweizerisches Recht zurück- oder auf das Recht eines dritten Staates weiterverweist, hiesse die sachlich richtige Lösung zugunsten einer nach schweizerischer Auffassung unzweckmässigen aufgeben.</w:t>
      </w:r>
    </w:p>
    <w:p>
      <w:r>
        <w:rPr>
          <w:b/>
        </w:rPr>
        <w:t>E. 4</w:t>
      </w:r>
    </w:p>
    <w:p>
      <w:r>
        <w:t>Der vorliegende Fall ist somit nach italienischem Recht zu beurteilen. Da das Handelsgericht schweizerisches Recht angewendet hat, muss das angefochtene Urteil aufgehoben und die Sache zur Neubeurteilung zurückgewiesen werden ( Art. 60 Abs. 1 lit. c OG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