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38</w:t>
      </w:r>
    </w:p>
    <w:p>
      <w:r>
        <w:t>Bundesgericht (BGE), 1955-01-01, FR</w:t>
      </w:r>
    </w:p>
    <w:p>
      <w:r>
        <w:rPr>
          <w:b/>
        </w:rPr>
        <w:t xml:space="preserve">Quelle: </w:t>
      </w:r>
      <w:r>
        <w:t>https://mcp.opencaselaw.ch/entscheid/bge_BGE_81_II_38</w:t>
      </w:r>
    </w:p>
    <w:p>
      <w:r>
        <w:t>FR: ATF 81 II 38</w:t>
      </w:r>
    </w:p>
    <w:p>
      <w:r>
        <w:t>IT: DTF 81 II 38</w:t>
      </w:r>
    </w:p>
    <w:p>
      <w:pPr>
        <w:pStyle w:val="Heading2"/>
      </w:pPr>
      <w:r>
        <w:t>Regeste</w:t>
      </w:r>
    </w:p>
    <w:p>
      <w:r>
        <w:t>Regeste Versorgerschaden, Art. 45 Abs. 3 OR. 1. Die Höhe des zukünftigen Lohnes des Verunfallten ist im wesentlichen Tatfrage (Erw. 1). 2. Für die Berechnung der Entschädigungssumme ist beim Fehlen konkreter Unterlagen der auf ein Jahr entfallende Schadensbetrag auf zwei verbundene Leben zu kapitalisieren unter Zugrundelegung des Mittels zwischen den aus den Lebenserwartungstafelneinerseits und den Aktivitätstabellen von Stauffer-Schaetzle anderseits sich ergebenden Zahlen (Erw. 2). 3. Anrechnung der SUVAL-Rente, insbesondere wenn die Anspruchsberechtigte eine Witwe ist (Erw. 3 u. 4).</w:t>
      </w:r>
    </w:p>
    <w:p>
      <w:r>
        <w:t>Regeste Perte de soutien, art. 45 al. 3 CO. 1. La question du salaire futur de la victime relève essentiellement du fait (consid. 1). 2. Pour calculer la somme à allouer, on doit, à défaut d'éléments concrets, capitaliser sur deux têtes le montant de la perte annuelle, en prenant les moyennes entre les chiffres fournis par les tables de longévité et ceux qui ressortent des tables d'actitivité de Stauffer /Schaetzle (consid. 2). 3. Imputation de la rente versée par la Caisse nationale, en particulier lorsque la bénéficiaire est une veuve (consid. 3 et 4).</w:t>
      </w:r>
    </w:p>
    <w:p>
      <w:r>
        <w:t>Regesto Perdita di sostegno, art. 45 cp. 3 CO. 1. La questione del salario futuro della vittima attiene essenzialmente ai fatti (consid. 1). 2. Nel computo dell'indennità dovuta si procederà, in mancanza di dati concreti, alla capitalizzazione su due teste dell'importo corrispondente alla perdita annuale, prendendo la media tra le cifre fornite dalle tabelle di longevità e le cifre risultanti dalle tabelle di attività Stauffer /Schaetzle (consid. 2). 3. Deduzione d'una rendita corrisposta dall'INSAI dall'indennità per perdita di sostegno, in modo particolare quando beneficiaria della rendita è una vedova (consid. 3 e 4).</w:t>
      </w:r>
    </w:p>
    <w:p>
      <w:pPr>
        <w:pStyle w:val="Heading2"/>
      </w:pPr>
      <w:r>
        <w:t>Erwägungen</w:t>
      </w:r>
    </w:p>
    <w:p>
      <w:r>
        <w:rPr>
          <w:b/>
        </w:rPr>
        <w:t>E. 1</w:t>
      </w:r>
    </w:p>
    <w:p>
      <w:r>
        <w:t>La question du gain futur de la victime relève essentiellement du fait. Le Tribunal fédéral ne la revoit que si le juge cantonal est parti de prémisses erronées en droit ou s'il a commis une inadvertance manifeste dans la constatation des faits. En l'espèce, ni l'une ni l'autre de ces conditions ne sont remplies. La juridiction de réforme ne saurait donc, comme le voudrait la recourante, calculer le montant de la perte de soutien en se fondant sur le salaire que le sinistré aurait obtenu s'il était devenu maçon. Subsidiairement, dame Lauper demande que le Tribunal fédéral tienne compte d'une augmentation de salaire dont les manoeuvres auraient bénéficié à partir du 30 juillet 1954. Mais elle n'a jamais invoqué cette hausse de salaire devant les juges cantonaux. Il s'agit donc d'un fait nouveau, que la juridiction de réforme ne saurait retenir (art. 55 al. 1 litt. c OJ).</w:t>
      </w:r>
    </w:p>
    <w:p>
      <w:r>
        <w:rPr>
          <w:b/>
        </w:rPr>
        <w:t>E. 2</w:t>
      </w:r>
    </w:p>
    <w:p>
      <w:r>
        <w:t>Pour établir le dommage causé par la perte de soutien future,laCour de justice a calculé lavaleur actuelle d'une rente viagère de 1989 fr. 10 constituée sur la tête de deux personnes de sexes différents (selon STAUFFER/SCHAETZLE, Barwerttafeln für das Schadenersatzrecht, 1948, table 14). Elle s'est conformée ainsi à la jurisprudence que le Tribunal fédéral a inaugurée par l'arrêt Lorétan et Helvétia contre Hoirs Monnier (RO 77 II 40). Mais, en appliquant sans correction cette méthode de calcul, on se fonde uniquement sur la probabilité de vie des deux personnes en cause. Or cet élément n'est pas seul décisif. La personne assistée a uniquement droit aux montants que le soutien lui aurait consacrés. Lorsque, comme en l'espèce, ils consistent dans une part de salaire, ils dépendent de celui-ci et cessent avec lui. Dès que le gain BGE 81 II 38 S. 43 du soutien diminue, il en est de même des montants affectés à l'entretien de la personne assistée - du moins si le salaire est modeste - et toute prestation du soutien cesse lorsqu'il ne travaille plus. Ce qui est déterminant, ce n'est donc pas la vie probable qu'aurait eue le sinsitré, mais la durée de son activité économique. Or c'est un fait d'expérience qu'on cesse généralement de travailler avant de cesser de vivre. En tout cas, à la fin d'une vie active, il y a presque toujours une période décroissante où les revenus du travail sont moindres. Sans doute n'est-ce pas certain dans tous les cas particuliers. Mais, dès le moment où l'on applique au calcul des indemnités pour perte de soutien les règles de la probabilité, il n'y a aucune raison de ne pas tenir compte de tous les facteurs qui influencent cette probabilité et de ne pas recourir aux correctifs fournis par les données de l'expérience. Aussi les tribunaux de nombreux pays se fondent-ils, pour flxer l'indemnité due aux personnes assistées, sur le moment où l'activité du soutien aurait probablement cessé (cf. par exemple, pour l'Allemagne, GEIGEL, Der Haftpflichtprozess, 1949, p. 22, et, pour la Belgique, GÉRARD, Des accidents survenus aux personnes, 1916, p. 479 et suiv.). Le Tribunal fédéral s'est occupé de cette question depuis longtemps. Mais, jusqu'en 1948, il n'a tenu compte de la durée probable de l'activité du sinistré que si des éléments concrets permettaient de l'estimer. Dans les autres cas, il a refusé de faire des réductions schématiques tant qu'on n'aurait pas, en Suisse, des tables de probabilité sérieuses au sujet de la durée de l'activité des individus (RO 55 II 147, 60 II 47, 61 II 132, 65 II 234). Or STAUFFER et SCHAETZLE ont publié, en 1948, des "Barwerttafeln für das Schadenersatzrecht", qui comprennent des tables d'activité (tables 1 à 7 et 9 à 11). Comme celles-ci étaient fondées sur des statistiques suédoises, le Tribunal fédéral s'est adressé, en 1949, au Bureau fédéral de statistique, pour lui demander si les données que les auteurs des nouvelles tables avaient prises pour base pouvaient être utilisées en BGE 81 II 38 S. 44 Suisse. En attendant la réponse de cet office, le Tribunal fédéral a déjà tenu compte, dans la fixation des indemnités, de la durée probable de l'activité de la victime; il a, en effet, opéré par appréciation des réductions sur les dommages-intérêts, lorsque le sinistré, dans le cours ordinaire des choses, aurait dû réduire ou cesser son activité professionnelle avant la date présumée de son décès (cf. arrêts du 17 avril 1951 dans la cause Zocer c/Darbellay, du 3 juin 1952 dans la cause Rogger c/Horisberger et du 16 juin 1953 dans la cause Maggetti c/Compagnie d'assurances Union SA). Le 30 novembre 1954, le Bureau fédéral consulté a répondu que, faute de statistiques suisses, il était impossible, du moins pour le moment, de juger si les tables d'activité de STAUFFER/SCHAETZLE correspondaient à la durée moyenne de la vie professionnelle sur le territoire de la Confédération. Ainsi, l'applicabilité de ces tables en Suisse reste incertaine. En tout cas, il subsiste sur ce point un doute dont on ne saurait faire abstraction, de peur que les personnes lésées n'obtiennent pas la pleine réparation du dommage qu'elles ont subi. D'autre part, il est certain qu'en se fondant simplement sur la probabilité de vie de la victime, on alloue des indemnités trop fortes. Quant à opérer des réductions par appréciation lorsqu'on ne peut se fonder sur des éléments concrets, cette méthode n'est pas satisfaisante, car elle ouvre la porte à l'insécurité et à l'arbitraire; il est préférable de calculer, autant que possible, ces réductions selon les règles de la probabilité. Dans ces conditions, la meilleure solution consiste à prendre la moyenne entre les chiffres fournis par les tables de longévité et ceux qui ressortent des tables d'activité. On a ainsi une méthode de calcul fondée sur des données objectives et qui permet d'établir le dommage de façon plus exacte et plus équitable. Sans doute n'obtient-on qu'un résultat approximatif, mais la marge de doute n'est pas supportée par les lésés. Il suffit d'évoquer quelques cas pratiques pour s'en convaincre. Si la victime est une femme de 30 ans; on considère, quand on se fonde uniquement sur sa vie probable (42, BGE 81 II 38 S. 45 32 ans) qu'elle travaillera jusqu'à plus de 72 ans. Or on ne saurait évidemment admettre qu'en moyenne l'activité des femmes âgées actuellement de 30 ans ne décroîtra pas avant qu'elles aient atteint l'âge de 72 ans. Si, en revanche, on prend la moyenne entre les indications fournies par les tables de mortalité et celles qui découlent des tables d'activité, on obtient 67 ans et 3 mois comme âge-limite, ce qui s'approche davantage de la réalité, tout en paraissant encore favorable aux lésés. Un homme de 50 ans peut compter vivre encore 22,08 ans. Mais il est clair que selon les règles de la probabilité il ne pourra travailler en plein jusqu'à 72 ans. Ici encore, l'âge indiqué par la moyenne des deux tables, savoir 69 ans, est plus juste et n'avantage certainement pas le débiteur des dommages-intérêts. On arrive à des conclusions semblables pour une femme de 55 ans. Il est exclu que les femmes de cet âge puissent, en moyenne, travailler jusqu'à 75 ans et demi, âge qu'on obtient en se fondant sur les tables de longévité. Mais si l'on prend la moyenne entre l'âge indiqué par ces tables et celui qui ressort des tables d'activité, on obtient approximativement 71 ans et demi, chiffre qui semble encore élevé. De même, les indemnités auxquelles on arrive en appliquant cette nouvelle méthode de calcul sont bien supérieures à celles qu'on obtiendrait en se fondant sur les tables d'activité publiées en 1932 par le Bureau fédéral des assurances. La comparaison donne le tableau suivant, pour les individus du sexe masculin: Age Proportion de la durée probable de l'activité par rapport à la durée probable de la vie, en % Selon les tables du En prenant comme durée d'activité Bureau fédéral des assurances probable la moyenne entre les (cf. JdT 1934 I 395) indications des tables de longévité et celles des tables d'activité de Stauffer/Schaetzle 26 76,1 91,1 40 66,5 88,8 55 50,4 83,7 70 27,6 70,8 BGE 81 II 38 S. 46 Si donc, pour calculer la perte de gain future ou le préjudice pour perte de soutien future, on prend la moyenne entre les chiffres fournis par les tables de longévité et ceux qui ressortent des tables d'activité de STAUFFER/SCHAETZLE, les lésés obtiennent en tout cas la réparation entière du dommage qu'ils ont subi. La règle demeure cependant, ici comme ailleurs, que les circonstances du cas particulier l'emportent sur les critères mathématiques lorsqu'elles permettent, mieux que ces derniers, d'estimer la durée probable de l'assistance. On devra donc faire abstraction de la méthode abstraite de calcul ou en rectifier le résultat si, grâce à des éléments concrets tels que l'âge, la santé ou la profession de la victime, on peut fixer avec plus d'exactitude le moment où sa vie active aurait probablement cessé. En l'espèce, de pareils éléments concrets font défaut, de sorte que le dommage pour perte de soutien doit être calculé uniquement selon les règles de la probabilité.</w:t>
      </w:r>
    </w:p>
    <w:p>
      <w:r>
        <w:rPr>
          <w:b/>
        </w:rPr>
        <w:t>E. 3</w:t>
      </w:r>
    </w:p>
    <w:p>
      <w:r>
        <w:t>La recourante admet que la rente qu'elle reçoit de la Caisse nationale doit être déduite du montant que l'intimée lui doit pour réparer la perte de soutien. Mais elle critique la manière dont la Cour de justice a procédé à cette imputation. A son avis, il faut soustraire des dommages-intérêts pour perte de soutien afférents à une année le montant d'une annuité de la rente servie par la Caisse nationale; on devrait ensuite capitaliser la différence comme une rente viagère constituée sur deux têtes (table 14 de STAUFFER/SCHAETZLE). a) Ce mode de calcul, qui a été adopté par le Tribunal de première instance, ne saurait être admis, car il consiste à déduire l'une de l'autre des valeurs de nature différente. En effet, la rente de la Caisse nationale est viagère: sa durée dépend uniquement de la vie du bénéficiaire. Les dommages-intérêts pour perte de soutien, en revanche, sont fonction de la durée probable de la vie et de l'activité de la victime, ainsi que de la vie probable de l'ayant droit. Aussi cette méthode peut-elle conduire à des résultats BGE 81 II 38 S. 47 inadmissibles, ce qu'illustre l'exemple suivant: Une femme de 39 ans perd son mari âgé de 60 ans; l'indemnité pour perte de soutien se monte à 1200 fr. par année et la veuve reçoit de la Caisse nationale une rente annuelle de 1000 fr.; en capitalisant la différence de 200 fr. selon la table 14 de STAUFFER/SCHAETZLE, on arrive à un préjudice non couvert de 2104 fr. Or, si l'on prend la moyenne entre les tables d'activité et les tables de longévité, le dommage pour perte de soutien est de 10 434 fr.; mais la valeur actuelle de la rente servie par la Caisse nationale se monte à 19 350 fr.; la veuve reçoit donc de la Caisse des prestations bien supérieures à son préjudice effectif, de sorte qu'elle ne saurait réclamer encore la réparation d'un dommage "non couvert" de 2104 fr. b) La Cour de justice, en revanche, a capitalisé d'abord le dommage pour perte de soutien, puis la rente de la Caisse nationale, et elle a mis la différence à la charge de l'intimée. Par ce mode de calcul, on ramène les deux rentes à des valeurs de même nature, savoir leur valeur actuelle, de sorte qu'elles peuvent être déduites l'une de l'autre. Aussi est-ce à cette méthode que le Tribunal fédéral a recouru dans ses derniers arrêts (RO 63 II 345 consid. 3, arrêts du 17 avril 1951 dans la cause Zocer c/Darbellay, consid. 4 d'et du 7 novembre 1951 dans la cause Perrin c/Pillonel, consid. 2 a). Il est vrai que la valeur de la rente de la Caisse nationale n'est fonction que de la vie probable du bénéficiaire, tandis que le calcul du dommage pour perte de soutien est fondé sur une durée inférieure; dès lors, si les deux prestations sont effectuées sous forme de rente, l'ayant droit a plus de chances de recevoir tous les termes de la rente pour perte de soutien que ceux de la rente de la Caisse nationale. La première a donc une valeur théorique plus grande que la seconde. Mais ce n'est pas une raison suffisante pour ne déduire du dommage pour perte de soutien qu'un montant inférieur à la valeur capitalisée de la rente de la Caisse nationale. Car cette correction ne porterait que sur des montants relativement BGE 81 II 38 S. 48 minimes et serait très difficile à apprécier dans chaque cas particulier. D'autre part, la différence est compensée dans une certaine mesure par l'avantage qu'a le bénéficiaire à toucher une rente qui ne cessera de toute façon qu'à sa mort; du point de vue social, en effet, une rente qui n'est servie que pendant une époque fixe a un prix inférieur, même si, selon les règles de la probabilité, sa valeur capitalisée est la même. Enfin, en vertu de l'art. 100 LAMA, la Caisse nationale a un droit de recours contre les personnes responsables du dommage; or il serait inéquitable qu'elle ne puisse réclamer intégralement la valeur actuelle de la rente qu'elle sert, lorsque cette valeur ne dépasse pas le dommage résultant de la perte de soutien; il y a donc lieu d'imputer sur le préjudice subi tout l'avantage économique représenté par les versements de la Caisse nationale, sinon les personnes responsables seraient tenues au delà du préjudice provoqué par la perte de soutien. Aussi est-ce avec raison que la Cour de justice a déduit de la valeur actuelle de la rente due par l'intimée celle de la rente servie par la Caisse nationale.</w:t>
      </w:r>
    </w:p>
    <w:p>
      <w:r>
        <w:rPr>
          <w:b/>
        </w:rPr>
        <w:t>E. 4</w:t>
      </w:r>
    </w:p>
    <w:p>
      <w:r>
        <w:t>Pour tenir compte des chances de remariage de la recourante, la juridiction cantonale a réduit de 20% le capital représenté par la rente due pour la perte de soutien. Dame Lauper ne critique ni le principe ni le taux de la déduction. Mais elle soutient qu'une diminution semblable aurait dû être opérée sur la valeur actuelle de la rente servie par la Caisse nationale. Elle a raison. Selon l'art. 84 LAMA, en effet, la veuve n'a droit à une rente que durant sa viduité. Ses chances de remariage diminuent donc la valeur économique actuelle de ce revenu. En principe, cette réduction doit être de 20%, comme celle qui est opérée sur la valeur actuelle de la rente pour perte de soutien. Toutefois, l'intimée relève avec raison que, en cas de remariage, la veuve reçoit une indemnité du triple du montant annuel de la rente (art. 88 LAMA). Or, si l'on réduit celle-ci de 20%, cela signifie que la veuve a approximativement une chance sur cinq de se remarier; elle a donc BGE 81 II 38 S. 49 aussi une chance sur cinq de recevoir l'indemnité prévue par l'art. 88 LAMA. En définitive, pour établir la valeur actuelle de la rente servie par la Caisse nationale, on doit capitaliser cette rente sur la tête de dame Lauper, réduire de 20% le montant ainsi obtenu et y ajouter trois cin quièmes d'une annuité. 5. - Le dommage est calculé au jour du jugement cantonal, c'est-à-dire au 21 septembre 1954. A l'indemnité allouée, il faut donc ajouter l'intérêt moratoire à 5% jusqu'à cette date et dès le moment où les différents éléments des dommages-intérêts étaient échus. Mais, de son côté, l'intimée doit également bénéficier d'un intérêt à 5% sur la somme de 8228 fr. qu'elle a payée le 21 novembre 1951.</w:t>
      </w:r>
    </w:p>
    <w:p>
      <w:r>
        <w:rPr>
          <w:b/>
        </w:rPr>
        <w:t>E. 6</w:t>
      </w:r>
    </w:p>
    <w:p>
      <w:r>
        <w:t>Dès lors, dame Lauper a droit aux montants suivants pour sa perte de soutien: a) Rente du 14 juillet 1950 au 13 juillet 1951: fr. 683.40 Intérêt à 5% dès le 14 janvier 1951 (échéance moyenne): " 125.85 b) Rente du 14 juillet 1951 au 21 septembre 1954: " 2546.60 Intérêt à 5% dès le 17 février 1953 (échéance moyenne): " 202.90 c) Valeur actuelle d'une rente de 2486 fr. 40 calculée selon le consid. 2 ci-dessus; coefficient table 14 de Stauffer /Schaetzle (âge de la femme: 38 ans; âge du mari: 33 ans): 1747; coefficient selon table 9: 1610; coefficient moyen: 1678.5. Capital: fr. 41 734.25 Réduction de 20% pour chances de remariage:" 8 346.85: fr. 33 387.40 Rente de la Caisse nationale capitalisée: fr. 33 131.50 moins 20%: " 6 626.30 = fr. 26 505.20 plus 3 /5 d'une annuité fr. 1687.80: = 1 012.70 = 27 517.90 " 5869.50 = fr. 9428.25 Or dame Lauper a déjà reçu l'intimée: fr. 8228.-- Intérêt de cette somme à 5% du 21 novembre 1951 au 21 septembre 1954 : 1165.65: " 9393.65 fr. 34.60 BGE 81 II 38 S. 50</w:t>
      </w:r>
    </w:p>
    <w:p>
      <w:r>
        <w:rPr>
          <w:b/>
        </w:rPr>
        <w:t>E. 7</w:t>
      </w:r>
    </w:p>
    <w:p>
      <w:r>
        <w:t>Selon ces calculs, la recourante aurait encore droit à 34 fr. 60. Mais ce résultat n'est qu'approximatif. Dès lors un montant aussi faible peut être négligé, d'autant plus qu'en calculant le dommage au 21 septembre 1954, on ne tient pas compte du risque de décès qui existait pour Lauper avant cette date et l'on obtient un résultat trop favorable à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