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 346</w:t>
      </w:r>
    </w:p>
    <w:p>
      <w:r>
        <w:t>Bundesgericht (BGE), 1955-01-01, DE</w:t>
      </w:r>
    </w:p>
    <w:p>
      <w:r>
        <w:rPr>
          <w:b/>
        </w:rPr>
        <w:t xml:space="preserve">Quelle: </w:t>
      </w:r>
      <w:r>
        <w:t>https://mcp.opencaselaw.ch/entscheid/bge_BGE_81_II_346</w:t>
      </w:r>
    </w:p>
    <w:p>
      <w:r>
        <w:t>FR: ATF 81 II 346</w:t>
      </w:r>
    </w:p>
    <w:p>
      <w:r>
        <w:t>IT: DTF 81 II 346</w:t>
      </w:r>
    </w:p>
    <w:p>
      <w:pPr>
        <w:pStyle w:val="Heading2"/>
      </w:pPr>
      <w:r>
        <w:t>Regeste</w:t>
      </w:r>
    </w:p>
    <w:p>
      <w:r>
        <w:t>Regeste Abtretung der Miete; Art. 264 OR. Das Recht auf Abtretung wird durch ein vertragliches Verbot der Untermiete, das dem Zweck der Miete widerspricht, nicht ausgeschlossen. Die Abtretung begründet ein Mietvertragsverhältnis zwischen Vermieter und Zessionar mit der Folge, dass nur diesem gegenüber rechtswirksam gekündigt werden kann.</w:t>
      </w:r>
    </w:p>
    <w:p>
      <w:r>
        <w:t>Regeste Cession de bail; art. 264 CO. Le droit de céder le bail n'est pas exclu par l'interdiction conventionnelle de la sous-location, lorsque cette interdiction est contraire au but assigné au contrat de bail par les parties. La cession crée entre le bailleur et le cessionnaire des rapports contractuels directs, de sorte que le bailleur ne peut donner valablement congé qu'au cessionnaire.</w:t>
      </w:r>
    </w:p>
    <w:p>
      <w:r>
        <w:t>Regesto Cessione del contratto di locazione; art. 264 CO. Il diritto di cedere il contratto di locazione non è escluso dall'interdizione convenzionale della sublocazione se quest'interdizione è contraria allo scopo del contratto di locazione. La cessione crea un rapporto di locazione tra il locatore e il cessionario, cosicchè il locatore può dare validamente la disdetta soltanto al cessionario.</w:t>
      </w:r>
    </w:p>
    <w:p>
      <w:pPr>
        <w:pStyle w:val="Heading2"/>
      </w:pPr>
      <w:r>
        <w:t>Erwägungen</w:t>
      </w:r>
    </w:p>
    <w:p>
      <w:r>
        <w:rPr>
          <w:b/>
        </w:rPr>
        <w:t>E. 1</w:t>
      </w:r>
    </w:p>
    <w:p>
      <w:r>
        <w:t>Art. 264 OR gibt dem Mieter das Recht zur Untermiete und Abtretung der Miete. Beide Institute dienen den Interessen des Mieters und verfolgen den gleichen wirtschaftlichen Zweck, nämlich die Übertragung des Gebrauches der Mietsache auf einen am ursprünglichen Mietvertrag nicht beteiligten Dritten ( BGE 67 II 140 f.). Im Gegensatz zur Untermiete begründet die Abtretung ein Mietvertragsverhältnis zwischen dem Vermieter und dem Dritten. Der Zessionar erwirbt selbständige Mieterrechte, namentlich die Befugnis, vom Vermieter die Überlassung der Mietsache und deren Erhaltung im vertraglichen Zustand zu verlangen und ihm die Einreden aus dem Mietvertrag entgegenzuhalten. Diese Wirkungen treten ohne Einwilligung des Vermieters ein; seine Rechte werden dadurch gewahrt, dass Art. 264 Abs. 2 und 3 OR auf die Abtretung entsprechend anwendbar sind und demnach der Zedent neben der Haftung des Zessionars aus dem Mietvertrag verpflichtet bleibt, solange er nicht im Sinne von Art. 176 OR befreit wird.</w:t>
      </w:r>
    </w:p>
    <w:p>
      <w:r>
        <w:rPr>
          <w:b/>
        </w:rPr>
        <w:t>E. 2</w:t>
      </w:r>
    </w:p>
    <w:p>
      <w:r>
        <w:t>Im Kaufvertrag vom 8. Juni 1953 haben die Beklagten eine Abtretung der Miete nach Art. 264 OR vereinbart. Reininghaus hat die von Frau Marzoner gemieteten Räume auch tatsächlich übernommen und die Mietzinse zunächst für Grob an das Konkursamt und später an Frau Walder als neue Eigentümerin bezahlt. Dass durch die Abtretung der Miete eine für den Vermieter nachteilige Veränderung eingetreten oder der Abtretung die besondere Natur des Mietverhältnisses entgegengestanden wäre, ist nicht ersichtlich und auch nicht behauptet worden. Es ist daher davon auszugehen, dass die Abtretung gesetzlich zulässig war. BGE 81 II 346 S. 350 Das Recht auf Untermiete und Abtretung kann indessen vertraglich ausgeschlossen oder eingeschränkt werden. In der Regel gilt ein vertragliches Verbot der Untermiete auch für die Abtretung ( BGE 54 II 397 , BGE 67 II 142 ). Die von Grob und Frau Marzoner abgeschlossenen Mietverträge enthalten zwar ein gedrucktes Verbot der Untermiete, bestimmen aber anderseits in maschinengeschriebener Form, dass die Räume zum Betrieb eines Möbeletagengeschäfts und zur Zimmervermietung überlassen werden. Diesem von den Parteien ausdrücklich aufgeführten Vertragszweck ist gegenüber den gedruckten und vielfach ohne Überlegung übernommenen Bestimmungen eine erhöhte Bedeutung beizumessen. Er kann nur den Sinn haben, dass die Untermiete gewollt war, also zulässig sein und das im Vertragsformular enthaltene Verbot als aufgehoben gelten sollte. Eine andere Auslegung würde Treu und Glauben widersprechen. Hat aber der Vermieter durch die Zulassung der Untermiete bekundet, dass er eine Übertragung des Gebrauchsrechtes an einen Dritten nicht verhindern wollte, so ist anzunehmen, dass auch die Abtretung der Miete statthaft sein sollte, zumal sie in den Mietverträgen überhaupt nicht erwähnt wird und eine langfristige Miete von Geschäftsräumen ihre Zulässigkeit aufdrängt.</w:t>
      </w:r>
    </w:p>
    <w:p>
      <w:r>
        <w:rPr>
          <w:b/>
        </w:rPr>
        <w:t>E. 3</w:t>
      </w:r>
    </w:p>
    <w:p>
      <w:r>
        <w:t>Die von den Beklagten vorgenommene Abtretung der Miete war somit rechtswirksam mit der Folge, dass Reininghaus ein selbständiges Benützungsrecht an den Mieträumen erworben hat und in ein Mietvertragsverhältnis mit dem Vermieter Grob getreten ist, ohne dass es dessen Zustimmung bedurfte. An diesem Rechtsverhältnis änderte der Übergang des Eigentums an der Liegenschaft an Frau Walder nichts, da sie die Mietverträge nicht übernommen hat. Ihre Kündigung vom 16. September 1953 auf den nächsten gesetzlich zulässigen Termin war nach Art. 259 OR gültig; sie hätte, wenn sie nicht auf Grund der Mietnotrechtsbestimmungen als unzulässig erklärt worden wäre, Reininghaus berechtigt, für den BGE 81 II 346 S. 351 Ausfall des vertraglich bis 1957 zugesicherten Gebrauches der Mietsache Schadenersatz vom bisherigen Vermieter zu verlangen. Gemäss Art. 7 des BRB betr. Massnahmen gegen die Wohnungsnot vom 15. Oktober 1941 /8. Februar 1946 galten die Mietverträge gestützt auf den rechtskräftigen Entscheid des Mietamtes vom 16. Oktober 1953 als auf unbestimmte Zeit verlängert. Zu ihrer Auflösung bedurfte es einer neuen Kündigung. Eine solche ist rechtswirksam nicht mehr erfolgt; die zuletzt am 25. November 1953 gegenüber Frau Marzoner erklärte Kündigung war rechtlich unerheblich, weil ihr ein Gebrauchsrecht an der Mietsache nicht mehr zustand. Reininghaus hält sich demnach zu Recht in den Mieträumen auf. Die Klage der Wohnhaus A. G., die sich auf die Kündigung ihrer Rechtsvorgängerin stützt, ist daher unbegründet.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