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33</w:t>
      </w:r>
    </w:p>
    <w:p>
      <w:r>
        <w:t>Bundesgericht (BGE), 1955-01-01, DE</w:t>
      </w:r>
    </w:p>
    <w:p>
      <w:r>
        <w:rPr>
          <w:b/>
        </w:rPr>
        <w:t xml:space="preserve">Quelle: </w:t>
      </w:r>
      <w:r>
        <w:t>https://mcp.opencaselaw.ch/entscheid/bge_BGE_81_II_33</w:t>
      </w:r>
    </w:p>
    <w:p>
      <w:r>
        <w:t>FR: ATF 81 II 33</w:t>
      </w:r>
    </w:p>
    <w:p>
      <w:r>
        <w:t>IT: DTF 81 II 33</w:t>
      </w:r>
    </w:p>
    <w:p>
      <w:pPr>
        <w:pStyle w:val="Heading2"/>
      </w:pPr>
      <w:r>
        <w:t>Regeste</w:t>
      </w:r>
    </w:p>
    <w:p>
      <w:r>
        <w:t>Regeste Klage auf Ungültigerklärung eines Testaments. Aktivlegitimation (Art. 519 Abs. 2 ZGB). Wirkungen des die Klage gutheissenden Urteils.</w:t>
      </w:r>
    </w:p>
    <w:p>
      <w:r>
        <w:t>Regeste Action en annulation d'un testament. Qualité pour agir (art. 519 al. 2 CC). Effet du jugement qui admet la demande.</w:t>
      </w:r>
    </w:p>
    <w:p>
      <w:r>
        <w:t>Regesto Azione di nullità d'un testamento. Veste attiva (art. 519 cp. 2 CC). Effetti della sentenza che ha accolto l'azione.</w:t>
      </w:r>
    </w:p>
    <w:p>
      <w:pPr>
        <w:pStyle w:val="Heading2"/>
      </w:pPr>
      <w:r>
        <w:t>Erwägungen</w:t>
      </w:r>
    </w:p>
    <w:p>
      <w:r>
        <w:rPr>
          <w:b/>
        </w:rPr>
        <w:t>E. 1</w:t>
      </w:r>
    </w:p>
    <w:p>
      <w:r>
        <w:t>(Streitwert).</w:t>
      </w:r>
    </w:p>
    <w:p>
      <w:r>
        <w:rPr>
          <w:b/>
        </w:rPr>
        <w:t>E. 2</w:t>
      </w:r>
    </w:p>
    <w:p>
      <w:r>
        <w:t>Die Ungültigkeitsklage kann nach Art. 519 Abs. 2 ZGB von jedermann erhoben werden, der als Erbe oder Bedachter ein Interesse daran hat, dass die Verfügung für ungültig erklärt wird. Die Kläger legen diese Bestimmung BGE 81 II 33 S. 36 in dem Sinne aus, dass das Interesse an der Ungültigerklärung der angefochtenen Verfügung nicht materieller Natur (in Geld abschätzbar) zu sein brauche, sondern dass ein ideelles Interesse genüge, und sind zudem der Meinung, dass die gesetzlichen Erben ein besonderes Interesse überhaupt nicht nachzuweisen haben, sondern kraft ihrer Stellung unter allen Umständen zur Testamentsanfechtungsklage legitimiert seien. Ob diese Auffassung zutreffe, kann dahingestellt bleiben, wenn sich ergibt, dass die Kläger an der Ungültigerklärung der Verfügungen vom 8. April 1949 als Erben materiell interessiert sind; denn wenn dies zutrifft, sind sie auf jeden Fall klageberechtigt.</w:t>
      </w:r>
    </w:p>
    <w:p>
      <w:r>
        <w:rPr>
          <w:b/>
        </w:rPr>
        <w:t>E. 3</w:t>
      </w:r>
    </w:p>
    <w:p>
      <w:r>
        <w:t>Bei Beurteilung der Frage, ob jemand an der Ungültigerklärung einer bestimmten Verfügung als Erbe oder Bedachter ein materielles Interesse habe, ist von Bedeutung, welche Wirkung dem Urteil über eine Testamentsanfechtungsklage zukommt, insbesondere für welche Personen es Recht schafft. Die ständige Rechtsprechung des Bundesgerichts geht dahin, dass ein Urteil über eine solche Klage nur zwischen den Prozessparteien wirkt ( BGE 40 II 192 , BGE 44 II 116 , BGE 57 II 152 , BGE 78 II 183 lit. b). An dieser Rechtsprechung, die ESCHER kritisiert (2. Auflage, N. 6 zu Art. 519), TUOR dagegen heute billigt (2. Auflage, Vorbem. zu Art. 519-521, N. 6 b) ist festzuhalten. Sie kann sich vor allem auf die Erwägung stützen, dass es im Belieben der Beteiligten steht, ob und allenfalls wieweit sie eine letztwillige Verfügung gelten lassen wollen. Im Unterschied etwa zu Klagen, die den Familienstand betreffen, kommt bei der Klage auf Ungültigerklärung eines Testaments kein öffentliches Interesse in Betracht, das verlangen würde, dass das die Klage gutheissende Urteil gegenüber jedermann wirke. Aus Art. 520 Abs. 2 in Verbindung mit Art. 503 ZGB lässt sich entgegen der Auffassung ESCHERS (S. 408 oben) kein Argument gegen die bundesgerichtliche Rechtsprechung gewinnen. Auch wenn man nämlich davon ausgeht, dass die Ungültigerklärung nur unter den Prozessparteien BGE 81 II 33 S. 37 wirkt, versteht sich keineswegs von selbst, sondern musste besonders gesagt werden, dass wegen der Mitwirkung von Personen, die selber oder deren Angehörige in der Verfügung bedacht sind, nur diese Zuwendungen für ungültig erklärt werden, d.h. dass die erwähnte Formwidrigkeit nicht dazu dienen kann, eine Klage auf Ungültigerklärung des ganzen Testaments zu begründen. Schafft das Urteil im Testamentsanfechtungsprozess nur im Verhältnis zwischen den Prozessparteien Recht, so können sich die Eheleute Lattmann-Schneider, welche die Verfügungen vom 8. April 1949 nicht angefochten haben, im Falle der Gutheissung der vorliegenden Klage weder gegenüber den Klägern noch gegenüber dem Beklagten darauf berufen, dass diese Verfügungen dahingefallen seien und dass demzufolge das durch sie widerrufene, zu ihren Gunsten lautende Testament vom 5. Juni 1945 wieder in Kraft getreten und zu vollziehen sei. Vielmehr bleiben die Verfügungen vom 8. April 1949, die das Testament vom 5. Juni 1945 aufgehoben haben, ihnen gegenüber massgebend. (Dies gilt wenigstens für solange, als sie nicht ihrerseits auf Ungültigerklärung der Verfügungen vom 8. April 1949 klagen, was heute nur noch unter den Voraussetzungen von Art. 521 Abs. 2 ZGB möglich wäre und im Hinblick auf die Vereinbarung vom 8. September 1953 praktisch nicht mehr zu erwarten ist. Die Möglichkeit, die Ungültigkeit dieser Verfügungen jederzeit durch Einrede gemäss Art. 521 Abs. 3 geltend zu machen, steht ihnen nicht zu Gebote, weil sie die Erbschaft nicht besitzen.) Erreichen die Kläger die Ungültigerklärung der Verfügungen vom 8. April 1949, so fällt also der Nachlass nicht den im Testament vom 5. Juni 1945 als Erben eingesetzten Eheleuten Lattmann, sondern den Klägern als den gesetzlichen Erben zu. Unter diesen Umständen steht ausser Zweifel, dass die Kläger an der Ungültigerklärung jener Verfügungen als Erben materiell interessiert und folglich zur Klage legitimiert sind. Die Vereinbarung, welche die Kläger am 8. September BGE 81 II 33 S. 38 1953 mit den Eheleuten Lattmann getroffen haben, vermag hieran nichts zu ändern. Wenn die Kläger und die Eheleute Lattmann, um einen Prozess zwischen ihnen zu vermeiden und den Eheleuten Lattmann die Führung eines Prozesses gegen den Beklagten zu ersparen, sich darauf einigten, das Ergebnis des Prozesses der Kläger gegen den Beklagten unter sich zu teilen, so war das ihre Sache. Den Beklagten geht das nichts an. Ihm gegenüber haben allein die Kläger auf das Erbe Anspruch, wenn sie den vorliegenden Prozess gewinnen.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