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223</w:t>
      </w:r>
    </w:p>
    <w:p>
      <w:r>
        <w:t>Bundesgericht (BGE), 1955-01-01, FR</w:t>
      </w:r>
    </w:p>
    <w:p>
      <w:r>
        <w:rPr>
          <w:b/>
        </w:rPr>
        <w:t xml:space="preserve">Quelle: </w:t>
      </w:r>
      <w:r>
        <w:t>https://mcp.opencaselaw.ch/entscheid/bge_BGE_81_II_223</w:t>
      </w:r>
    </w:p>
    <w:p>
      <w:r>
        <w:t>FR: ATF 81 II 223</w:t>
      </w:r>
    </w:p>
    <w:p>
      <w:r>
        <w:t>IT: DTF 81 II 223</w:t>
      </w:r>
    </w:p>
    <w:p>
      <w:pPr>
        <w:pStyle w:val="Heading2"/>
      </w:pPr>
      <w:r>
        <w:t>Regeste</w:t>
      </w:r>
    </w:p>
    <w:p>
      <w:r>
        <w:t>Regeste Art. 55 ZGB, 55 und 339 OR, 129 KUVG. Haftung des Dienstherrn, der dem KUVG unterstellt ist. Aktiengesellschaft als Dienstherr. Begriff des Organs im Sinne von Art. 55 ZGB.</w:t>
      </w:r>
    </w:p>
    <w:p>
      <w:r>
        <w:t>Regeste Art. 55 CC, 55 et 339 CO, 129 LAMA. Responsabilité de l'employeur soumis à la loi fédérale sur l'assurance en cas de maladie ou d'accidents. Cas dans lequel l'employeur est une société anonyme. Notion de l'organe au sens de l'art. 55 CC.</w:t>
      </w:r>
    </w:p>
    <w:p>
      <w:r>
        <w:t>Regesto Art. 55 CC, 55 e 339 CO, 129 LAMI. Responsabilità del padrone assoggettato alla legge federale sull'assicurazione contro le malattie e gli infortuni. Caso in cui il padrone è una società anonima. Concetto dell'organo a'sensi dell'art. 55 CC.</w:t>
      </w:r>
    </w:p>
    <w:p>
      <w:pPr>
        <w:pStyle w:val="Heading2"/>
      </w:pPr>
      <w:r>
        <w:t>Erwägungen</w:t>
      </w:r>
    </w:p>
    <w:p>
      <w:r>
        <w:rPr>
          <w:b/>
        </w:rPr>
        <w:t>E. 1</w:t>
      </w:r>
    </w:p>
    <w:p>
      <w:r>
        <w:t>Suivant l'art. 129 LAMA, l'employeur qui a payé les primes auquel il est astreint dans l'assurance obligatoire - ce qui est le cas de la recourante - n'est civilement responsable de l'accident subi par ses employés ou ouvriers que s'il l'a causé intentionnellement ou par faute grave. Ainsi qu'on l'a déjà relevé à maintes reprises, cette limitation est en principe indépendante des causes de la responsabilité, lesquelles demeurent régies par le droit commun, sous réserve toutefois, dans certains cas, de la question de la répartition du fardeau de la preuve (cf. RO 72 II 312/313 et les arrêts cités). La responsabilité de l'employeur soumis à la LAMA peut donc se trouver engagée en raison BGE 81 II 223 S. 225 de l'inobservation qui découle pour lui, aussi bien que pour tout autre employeur, des art. 55 et 339 CO. Encore faut-il, s'il s'agit - comme en l'espèce - d'une société anonyme que le fait (action ou inaction) qui a été la cause de l'accident puisse être imputé à faute soit à la société elle-même, ayant agi ou négligé d'agir par l'entremise de ses représentants légaux ou statutaires, soit à une autre personne ou autre groupement de personnes possédant la qualité d'organe au sens de l'art. 55 CC. En l'espèce, la Cour cantonale a admis que le premier accident a été dû au fait que la presse à laquelle travaillait l'intimée, au lieu d'être munie d'un étrier complètement fermé, n'avait qu'un étrier à demi-fermé, non adapté au travail auquel se livrait l'intimée et d'autant moins indiqué en l'occurrence que cette dernière était gauchère, ce que le contremaître Folly ne pouvait ignorer. On ne saurait contester qu'en ne s'assurant pas que son subordonné Maradan avait adapté à la presse à laquelle travaillait l'intimée le dispositif qui lui aurait assuré la protection nécessaire, le contremaître Folly a commis une faute grave en rapport de causalité adéquat avec l'accident. Folly qui avait été instruit par le délégué de la Caisse nationale de moyens propres à assurer la meilleure protection des ouvrières ne pouvait, en effet, ignorer le danger que présentait le travail aux presses. Sa négligence ne saurait toutefois, d'après les principes rappelés ci-dessus, être imputée à faute à la recourante que dans les deux hypothèses suivantes, à savoir: a) s'il était prouvé - cette preuve incombant à l'intimée - que la recourante avait commis une faute grave en confiant à Folly les fonctions dont il était chargé, ou en ne l'ayant pas suffisamment instruit sur ses devoirs, ou encore en n'ayant pas exercé sur lui la surveillance voulue; b) si Folly devait être considéré en l'occurrence comme un organe de la société. ad a) La recourante n'a rien allégué qui autorise à dire BGE 81 II 223 S. 226 que Folly n'était pas capable de remplir le poste qu'il occupait. Il était au contraire considéré comme un employé qualifié et consciencieux, et il faut bien admettre qu'il méritait d'une façon générale la confiance de son employeur, puisque ce dernier, postérieurement aux accidents, l'a promu au poste de chef de fabrication. Quant à Maradan, les manquements qui ont pu lui être reprochés ne furent découverts qu'après l'accident et ils ont entraîné son renvoi immédiat. On ne saurait non plus reprocher à la recourante d'avoir omis de donner à Folly et à Maradan des instructions sur la manière de se servir des presses. Ils avaient été en effet initiés à l'emploi des étriers par un technicien de la Caisse nationale que la recourante avait fait venir spécialement à cet effet. Il se peut enfin que la recourante eût dû surveiller mieux qu'elle ne l'a fait la façon dont Folly et Maradan s'acquittaient de leur tâche et, en particulier, s'assurer par un contrôle fréquent qu'ils suivaient bien les prescriptions de la Caisse nationale. Mais, étant donné ce qu'on vient de dire au sujet des qualités professionnelles de Folly, il s'agirait là tout au plus d'une faute légère ne suffisant par conséquent pas à engager sa responsabilité en vertu de l'art. 129 LAMA. ad b) Il est exact, ainsi que le relève la Cour cantonale, que depuis l'entrée en vigueur du code civil suisse, le Tribunal fédéral a parfois donné une interprétation très large de l'art. 55 CC, allant même jusqu'à attribuer la qualité d'organe au chef-monteur d'une usine électrique (cf. au sujet de l'évolution de la jurisprudence l'arrêt Julita contre Compagnie genevoise des tramways électriques, RO 68 II 289/290). Dans ce même arrêt le Tribunal fédéral s'est toutefois demandé si une telle extension de la notion d'organe résisterait à un nouvel examen. Qu'on ne se borne pas à qualifier d'organe au sens de l'art. 55 CC la personne ou le groupe de personnes auxquels, suivant l'espèce de personnes morales dont il s'agit, la loi confère cette qualité, sans doute faut-il l'admettre si l'on ne veut pas rendre illusoire la protection qu'institue l'art. 55 CC. BGE 81 II 223 S. 227 Mais encore faut-il qu'il s'agisse de personnes ou de groupes de personnes qui, de par la situation qu'ils occupent dans l'affaire et les pouvoirs qui leur sont dévolus par les statuts ou les règles qui régissent l'organisation interne de l'affaire, participent effectivement et d'une façon décisive à la formation de la volonté sociale. Aussi bien l'organe est-il, selon l'art. 55, le canal naturel par lequel s'exprime la volonté de la personne morale. Si l'on applique ces principes en l'espèce, il est clair que le contremaître Folly n'occupait pas, dans la société recourante, une situation telle qu'il puisse être considéré comme ayant participé d'une manière quelconque à la formation de la volonté de la société. C'est en vain qu'à ce propos la Cour cantonale mentionne qu'il avait à vérifier l'état des machines, à s'assurer qu'elles fonctionnaient normalement, qu'il avait été chargé de prendre contact avec la Caisse nationale au sujet des mesures de sécurité à prendre, que c'est à lui, enfin, qu'elle avait donné les instructions nécessaires. Ce sont là des fonctions de surveillance et d'exécution. C'est d'ailleurs la direction de l'entreprise et non Folly de son propre chef qui avait décidé de s'adresser à la Caisse nationale, et le fait que lorsqu'il s'est agi de prendre de nouvelles mesures c'est lui qui s'est trouvé en contact avec le technicien de la Caisse ne présente aucun intérêt. Il était naturel que les explications sur la manière d'utiliser les nouveaux appareils fussent données directement à celui qui était chargé de les mettre en service. La responsabilité de la recourante ne pouvait donc se trouver engagée du fait de Folly.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