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189</w:t>
      </w:r>
    </w:p>
    <w:p>
      <w:r>
        <w:t>Bundesgericht (BGE), 1955-01-01, IT</w:t>
      </w:r>
    </w:p>
    <w:p>
      <w:r>
        <w:rPr>
          <w:b/>
        </w:rPr>
        <w:t xml:space="preserve">Quelle: </w:t>
      </w:r>
      <w:r>
        <w:t>https://mcp.opencaselaw.ch/entscheid/bge_BGE_81_II_189</w:t>
      </w:r>
    </w:p>
    <w:p>
      <w:r>
        <w:t>FR: ATF 81 II 189</w:t>
      </w:r>
    </w:p>
    <w:p>
      <w:r>
        <w:t>IT: DTF 81 II 189</w:t>
      </w:r>
    </w:p>
    <w:p>
      <w:pPr>
        <w:pStyle w:val="Heading2"/>
      </w:pPr>
      <w:r>
        <w:t>Regeste</w:t>
      </w:r>
    </w:p>
    <w:p>
      <w:r>
        <w:t>Regeste Wegrecht. Art. 736 Abs. 1 ZGB. Die Löschung ist zu verweigern, wenn ein Interesse an der Ausübung der Dienstbarkeit zwar zur Zeit nicht mehr besteht, jedoch in Zukunft wieder entstehen kann (Erw. 2). Art. 740 ZGB. Der Inhalt der Wegrechte wird durch das kantonale Recht und den Ortsgebrauch bestimmt (Erw. 3).</w:t>
      </w:r>
    </w:p>
    <w:p>
      <w:r>
        <w:t>Regeste Droit de passage. Art. 736 al. 1 CC. La radiation doit être refusée, encore que l'exercice de la servitude ait perdu toute utilité lors de la demande, si cette utilité peut se manifester de nouveau ultérieurement (consid. 2). Art. 74O CC. L'étendue des droits de passage est réglée par le droit cantonal et l'usage des lieux (consid. 3).</w:t>
      </w:r>
    </w:p>
    <w:p>
      <w:r>
        <w:t>Regesto Servitù di passo ed accesso. Art. 736 cp. 1 CC. La cancellazione dev'essere rifiutata anche quando un interesse all'esercizio della servitù sia pel momento cessato, ma possa rinascere in futuro (consid. 2). Art. 740 CC. L'estensione dei diritti di passaggio è regolata dal diritto cantonale e dall'uso locale (consid. 3).</w:t>
      </w:r>
    </w:p>
    <w:p>
      <w:pPr>
        <w:pStyle w:val="Heading2"/>
      </w:pPr>
      <w:r>
        <w:t>Erwägungen</w:t>
      </w:r>
    </w:p>
    <w:p>
      <w:r>
        <w:rPr>
          <w:b/>
        </w:rPr>
        <w:t>E. 1</w:t>
      </w:r>
    </w:p>
    <w:p>
      <w:r>
        <w:t>Si poneva anzitutto il quesito se il valore litigioso della causa raggiungesse almeno 4000 fr., condizione cui l' art. 46 OG subordina la proponibilità del ricorso per riforma. Contrariamente a quanto prescrive l'art. 51 lett. a OG, anche la Camera civile d'appello, come già il Pretore, ha omesso ogni indicazione a siffatto proposito. Siccome a questa lacuna non suppliva il fatto che a richiesta dell'attore e sulle indicazioni da lui fornite la Pretura di Lugano-Città aveva determinato posteriormente (con decreto 24 dicembre 1954) il valore litigioso nell'importo di 9000 fr., pari al prezzo pagato dall'attore per l'acquisto della particella n. 2092, il Tribunale federale ha incaricato l'architetto Americo Marazzi, a Lugano, di accertare peritamente il valore della servitù litigiosa (art. 36 cp. 2 OG). Nel suo referto 24 febbraio 1955 egli espone che la cancellazione della servitù di passo e accesso aumenterebbe il valore della particella n. 2092 (fondo serviente) di 6000 fr. e ridurrebbe il valore della particella n. 1536 (fondo dominante) di 2500 fr. Sulla scorta delle ragionate conclusioni peritali si può ammettere che la cancellazione della servitù, chiesta dall'attore, rappresenta per lui un valore superiore a 4000 fr., ma inferiore a 8000 fr. Di conseguenza, il ricorso per riforma è ricevibile, ma non vi è dibattimento ( art. 46, 62 OG ).</w:t>
      </w:r>
    </w:p>
    <w:p>
      <w:r>
        <w:rPr>
          <w:b/>
        </w:rPr>
        <w:t>E. 2</w:t>
      </w:r>
    </w:p>
    <w:p>
      <w:r>
        <w:t>Giusta i fatti acquisiti dall'istruttoria cantonale, vincolanti per il Tribunale federale ( art. 63 OG ), l'onere di passo ed accesso gravante il fondo dell'attore (mappale n. 2092) in favore di quello del convenuto (mappale n. 1536) non è presentemente più esercitato. La Camera civile d'appello ne ha tratto implicitamente la conclusione che nelle circostanze attuali la servitù non ha più un interesse per il convenuto, atteso che dopo l'acquisto d'una BGE 81 II 189 S. 194 parte del mappale n. 1262 può accedere direttamente alle vie Roncaccio e Sorengo e che non esiste per lui altro motivo e pertanto altro interesse di passare attraverso il fondo dell'attore. Questa conclusione deve essere condivisa. La questione si riduce quindi a sapere se, agli effetti dell'interesse al mantenimento della servitù, si debba tener conto anche di un'eventuale futura utilità del diritto di passo e accesso. A quest'interrogativo la Camera civile d'appello ha risposto affermativamente, a motivo della situazione che risulterebbe pel convenuto qualora dovesse acquistare uno dei fondi vicini a quello serviente (mappali n. 1981, 1261, 2093, 1722) o qualora dovesse essere costruita la nuova strada cantonale. L'art. 736 cp. 1 CC consente che una servitù sia cancellata quando "abbia perduto ogni interesse per il fondo dominante". La persistenza anche solo d'un interesse di lieve importanza, ridotto rispetto a prima, esclude quindi la cancellazione della servitù. A motivo della locuzione "ogni interesse" di tale disposto legale si deve inoltre ritenere che, in via di massima, la cancellazione dev'essere rifiutata anche quando un interesse all'esercizio della servitù sia pel momento cessato, ma possa rinascere in seguito. Orbene, se si esamina la fattispecie alla luce di questo principio, si deve convenire con la seconda giurisdizione cantonale che l'interesse del convenuto, attualmente latente, è suscettibile di rinascere in avvenire. Prescindendo anche dall'ipotesi ch'egli acquistasse uno dei terreni adiacenti a quello serviente e dall'interesse che avrebbe allora di raggiungerlo direttamente attraverso il fondo dell'attore anzichè essere costretto a fare il giro da via Roncaccio, rimane l'eventualità della costruzione della nuova strada cantonale prevista dal Piano regolatore comunale. Sebbene, giusta gli accertamenti vincolanti della Corte cantonale, nulla si sappia ancora di definitivo sull'epoca della costruzione e sul tracciato della nuova arteria è pensabile che, come lo prevede il progetto più BGE 81 II 189 S. 195 recente, essa abbia a passare sul fondo del convenuto ad est della sua casa. È possibile che, a motivo della differenza altimetrica, il fondo del convenuto non avrebbe in tal caso un accesso diretto alla nuova strada, mentre un raccordo a livello sarebbe verosimilmente attuabile nella regione della proprietà Gansser, traversando il fondo serviente. In quest'eventualità il convenuto avrebbe indubbiamente un interesse al mantenimento del diritto di passo, che gli consentirebbe di accedere alla nuova strada. Se è vero che l'iscrizione a registro fondiario par la nel caso concreto genericamente d'un "diritto di passo ed accesso" a favore del fondo n. 1536, altrettanto vero è che, entro i limiti dell'iscrizione, l'estensione della servitù può risultare dal titolo di acquisto o dal modo in cui fu esercitata per molto tempo, pacificamente e in buona fede (art. 738 cp. 2 CC). Un contratto di servitù, che precisasse gli estremi del diritto litigioso, non è stato prodotto. Dagli atti di causa risulta soltanto che per alcuni anni la servitù fu esercitata esclusivamente per accedere alle vie Roncaccio e Sorengo e che, all'epoca dell'iscrizione a registro fondiario (1946), un'altra modalità d'esercizio non era pensabile poichè già allora il fondo serviente era intercluso e aveva uscita soltanto sulle strade prementovate. Risulta dalla deposizione testimoniale dell'architetto Klauser che ancora nel 1950 la casa del convenuto era stata progettata parallelamente al tracciato della futura via Tassino, quale risultava dal Piano regolatore del 1932, e che solo in sede di approvazione del progetto egli era stato edotto della prevista modifica del tracciato, nel senso che la strada sarebbe venuta a intersecare il fondo Donada nell'angolo est. Questa modifica del tracciato essendo posteriore al 1946, è ovvio che all'epoca dell'iscrizione a registro della servitù le parti non possono aver pensato all'eventualità di esercitare il diritto di passo sul fondo serviente per raggiungere la via Tassino all'altezza della proprietà Gansser. Ma ciò non toglie che l'iscrizione a registro fondiario concede BGE 81 II 189 S. 196 genericamente un "diritto di passo ed accesso", senza restrizione alcuna. In queste condizioni è senz'altro possibile che col tempo l'interesse del fondo dominante si modifichi e si riferisca piuttosto o esclusivamente ad un esercizio diverso da quello inizialmente previsto, semprechè non ne risulti un maggior onere pel fondo serviente (art. 739 CC). La circostanza che dal 1946 al 1952 il diritto di passo fu effettivamente esercitato solo per raggiungere le vie Roncaccio e Sorengo non implica una rinuncia alla portata più ampia della servitù. Che questa abbia conservato un interesse suscettibile di rinascere per il fondo dominante risulta peraltro anche dalla perizia giudiziale che ha valutato l'interesse al mantenimento del diritto in 2500 fr. Sebbene non vincoli il Tribunale federale, quest'apprezzamento da parte d'un professionista esperto in materia immobiliare è nondimeno significativo. Giudicando che la servitù non aveva perso definitivamente qualsiasi interesse per il fondo dominante e che, semmai, la domanda di cancellazione era prematura, la seconda giurisdizione cantonale non ha quindi violato l'art. 736 cp. 1 CC.</w:t>
      </w:r>
    </w:p>
    <w:p>
      <w:r>
        <w:rPr>
          <w:b/>
        </w:rPr>
        <w:t>E. 3</w:t>
      </w:r>
    </w:p>
    <w:p>
      <w:r>
        <w:t>Rimane da esaminare se sul giudizio possa influire il fatto che la servitù è iscritta a registro fondiario nella sua duplice accezione di "diritto di passo ed accesso". Il Pretore ha opinato che si dovesse distinguere tra il passo e l'accesso e che, la petizione avendo chiesto soltanto la cancellazione del diritto di passo, quello di accesso doveva rimanere invariato. In sede di appello l'attore ha esteso la domanda nel senso che fosse cancellato anche . il diritto di accesso. Se questa modifica delle conclusioni fosse ancora ammissibile in sede di appello è questione che attiene alla procedura civile cantonale e che non soggiace quindi al sindacato del Tribunale federale. La Camera civile d'appello ha considerato siffatte conclusioni come ricevibili e, statuendo sul merito, ha ritenuto che in concreto non si trattava di due servitù distinte, suscettibili di esistere indipendenti l'una dall'altra. Essa ha giudicato BGE 81 II 189 S. 197 che una distinzione delle due servitù potrebbe sussistere ed essere giuridicamente rilevante se risultasse dal loro titolo costitutivo: dovrebbe essere accertato che il diritto di accesso - a differenza di quello di passo - fu concesso per l'esercizio d'una determinata attività sul fondo serviente che non sia la semplice transitabilità, per esempio la facoltà di attingere acqua da una fontana o da un rivo, di sfruttare una cava, di cogliere dei frutti e via dicendo. In concreto nulla permetterebbe di ritenere che con l'iscrizione a registro si avesse inteso fare una distinzione iniziale e intenzionale tra passo e accesso, di modo che il secondo potesse sussistere nella caducità del primo. A norma dell'art. 740 CC, l'estensione dei diritti di passo è regolata dal diritto cantonale e dall'uso locale. In quanto ha interpretato e delimitato nel suo contenuto il "diritto di passo ed accesso" litigioso la Camera civile d'appello ha dunque applicato il diritto cantonale, il quale sfugge al sindacato del Tribunale federale. L'accertamento della seconda giurisdizione cantonale, secondo cui nella fattispecie "passo" e "accesso" non significano cose diverse, appare quindi inoppugnabile. Dispositiv Il Tribunale federale pronuncia: Il ricorso è respinto e la querelata sentenza 24 novembre 1954 della Camera civile del Tribunale d'appello del Cantone Ticino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