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155</w:t>
      </w:r>
    </w:p>
    <w:p>
      <w:r>
        <w:t>Bundesgericht (BGE), 1955-01-01, FR</w:t>
      </w:r>
    </w:p>
    <w:p>
      <w:r>
        <w:rPr>
          <w:b/>
        </w:rPr>
        <w:t xml:space="preserve">Quelle: </w:t>
      </w:r>
      <w:r>
        <w:t>https://mcp.opencaselaw.ch/entscheid/bge_BGE_81_II_155</w:t>
      </w:r>
    </w:p>
    <w:p>
      <w:r>
        <w:t>FR: ATF 81 II 155</w:t>
      </w:r>
    </w:p>
    <w:p>
      <w:r>
        <w:t>IT: DTF 81 II 155</w:t>
      </w:r>
    </w:p>
    <w:p>
      <w:pPr>
        <w:pStyle w:val="Heading2"/>
      </w:pPr>
      <w:r>
        <w:t>Regeste</w:t>
      </w:r>
    </w:p>
    <w:p>
      <w:r>
        <w:t>Regeste Kollektive Unfallversicherung. Entstehung des Rechtes auf die Invaliditätsentschädigung. Fälligkeit. Anspruch der Erben des Verunfallten auf diese Entschädigung. Auslegung der Allgemeinen Bedingungen des Versicherungsvertrages.</w:t>
      </w:r>
    </w:p>
    <w:p>
      <w:r>
        <w:t>Regeste Assurance collective contre les accidents. Naissance du droit à l'indemnité d'invalidité. Exigibilité. Droit des héritiers de la victime à cette indemnité. Interprétation des conditions générales du contrat d'assurance.</w:t>
      </w:r>
    </w:p>
    <w:p>
      <w:r>
        <w:t>Regesto Assicurazione collettiva contro gli infortuni. Quando nasce il diritto all'indennità per invalidità. Scadenza. Diritto degli eredi della vittima a questa indennità. Interpretazione delle condizioni generali del contratto di assicurazione.</w:t>
      </w:r>
    </w:p>
    <w:p>
      <w:pPr>
        <w:pStyle w:val="Heading2"/>
      </w:pPr>
      <w:r>
        <w:t>Erwägungen</w:t>
      </w:r>
    </w:p>
    <w:p>
      <w:r>
        <w:rPr>
          <w:b/>
        </w:rPr>
        <w:t>E. 4</w:t>
      </w:r>
    </w:p>
    <w:p>
      <w:r>
        <w:t>a) Quant au fond, la défenderesse conteste aux dames Brochut et Chapuis tout droit à une indemnité pour l'invalidité permanente dont leur auteur aurait pu être atteint. Le but de cette indemnité, dit-elle, est de compenser la perte de gain que subit la personne assurée; elle n'est pas due lorsque la victime décède entre temps, puisque le dommage assuré n'existe plus; un tel droit ne saurait donc passer aux héritiers. La défenderesse invoque à ce propos la jurisprudence d'après laquelle, pour fixer le montant d'une indemnité due en vertu des règles de la responsabilité civile, il faut se fonder sur la situation qui existe au jour du jugement. Il est exact que l'assurance de l'invalidité est destinée essentiellement à compenser la perte de gain que subit la personne assurée. Mais ce n'en est pas moins une assurance de personnes. Peu importe dès lors l'importance effective du dommage. La somme convenue est due aussitôt que la personne assurée subit une invalidité permanente par suite d'un sinistre couvert par le contrat. Dès ce moment, le droit à l'indemnité d'invalidité fait partie du patrimoine de l'assuré (cf. ROELLI/JAEGER, Kommentar zum VVG, ad art. 87/88 rem. 33 à 35; KOENIG, Schweiz. Privatversicherungsrecht, p. 397/8). Or un tel droit n'est pas strictement personnel (cf. art. 73 al. 1 LCA; ROELLI/JAEGER, loc.cit.). Lors donc que la personne assurée décède après que ce droit est né, il passe aux héritiers comme toute autre prétention de nature patrimoniale. La défenderesse invoque à tort la jurisprudence relative au calcul des dommages-intérêts en matière de responsabilité civile (cf. notamment RO 77 II 152 et 314 no 59). Dans ce cas, le montant de l'indemnité dépend du dommage effectif et, pour calculer celui-ci aussi exactement que possible, on doit tenir compte des événements qui se sont produits jusqu'au jugement. En matière d'assurance-invalidité, en revanche, la somme assurée est fixée d'avance et elle est BGE 81 II 155 S. 158 due indépendamment de tous les faits qui ont pu survenir après la naissance du droit. Dans le cas particulier, le droit à une indemnité n'est pas seulement né, mais il était même exigible avant le décès de Brochut. Aux termes de l'art. 88 al. 1 LCA, en effet, l'indemnité d'invalidité doit être payée dès que les conséquences probablement permanentes de l'accident ont été définitivement constatées. Il suffit donc que l'assuré établisse, en général par un certificat médical, qu'il est atteint d'une invalidité vraisemblablement définitive; une sûreté absolue n'est pas nécessaire. Or il ressort en l'espèce des rapports établis en 1952 par les médecins traitants, notamment par le Dr Monnier, que l'assuré était incapable de travailler et que cette invalidité était probablement permanente. Brochut aurait donc pu prétendre, dès cette époque, au paiement de l'indemnité convenue. A son décès, ce droit a passé à ses héritiers, sauf dispositions contraires du contrat d'assurance. b) La défenderesse voit de telles dispositions dans les art. 21 et 22 des conditions générales. L'art. 21 montre, dit-elle, que l'assuré peut seul être le bénéficiaire de l'indemnité d'invalidité. Elle relève d'autre part qu'en vertu de l'art. 22, cette indemnité et l'indemnité en cas de décès s'excluent l'une l'autre et que la dernière est due seulement si l'assuré meurt au plus tard une année après l'accident; or, ajoute-t-elle, cette limitation n'aurait plus de sens si, une fois le délai d'un an écoulé, les héritiers pouvaient encore prétendre à l'indemnité d'invalidité en cas de décès de la personne assurée. De cette argumentation, l'A.M.V. ne conclut pas - et avec raison - que l'indemnité d'invalidité doive lui être restituée si la personne assurée décède peu après le paiement. Elle prétend seulement que, même si le droit à l'indemnité est né en faveur de la personne assurée, il s'éteint dès lors que celle-ci meurt avant le versement de la somme convenue, du moins si le décès survient plus d'une année après l'accident. Mais, si l'on admettait cette BGE 81 II 155 S. 159 conclusion, l'A.M.V. aurait avantage à différer autant que possible le paiement de l'indemnité et elle bénéficierait du retard avec lequel elle s'acquitterait de ses obligations. Or la personne qui a contracté l'assurance ne pouvait comprendre, à la lecture des conditions générales, que les art. 21 et 22 entraînassent des effets aussi inéquitables. A tout le moins, il faut admettre que, sur ce point, les conditions du contrat sont peu claires et doivent être interprétées contre la partie qui les a rédigées, c'est-à-dire contre l'A.M.V. (RO 48 II 246 consid. 3, 50 II 543 consid. 4). Dès lors, les dames Brochut et Chapuis ont droit à l'indemnité d'invalidité convenue.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