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135</w:t>
      </w:r>
    </w:p>
    <w:p>
      <w:r>
        <w:t>Bundesgericht (BGE), 1950-08-09, FR</w:t>
      </w:r>
    </w:p>
    <w:p>
      <w:r>
        <w:rPr>
          <w:b/>
        </w:rPr>
        <w:t xml:space="preserve">Quelle: </w:t>
      </w:r>
      <w:r>
        <w:t>https://mcp.opencaselaw.ch/entscheid/bge_BGE_81_II_135</w:t>
      </w:r>
    </w:p>
    <w:p>
      <w:r>
        <w:t>FR: ATF 81 II 135</w:t>
      </w:r>
    </w:p>
    <w:p>
      <w:r>
        <w:t>IT: DTF 81 II 135</w:t>
      </w:r>
    </w:p>
    <w:p>
      <w:pPr>
        <w:pStyle w:val="Heading2"/>
      </w:pPr>
      <w:r>
        <w:t>Regeste</w:t>
      </w:r>
    </w:p>
    <w:p>
      <w:r>
        <w:t>Regeste Verjährung. Art. 138 Abs. 2 OR. Begriff des Betreibungsaktes (Erw. 1). Verhältnis zwischen Art. 132 und 77 Abs. 1 Ziff. 3 OR (Erw. 2).</w:t>
      </w:r>
    </w:p>
    <w:p>
      <w:r>
        <w:t>Regeste Prescription. Art. 138 al. 2 CO. Notion de l'acte de poursuite (consid. 1). Rapport entre les art. 132 et 77 al. 1 ch. 3 CO (consid. 2).</w:t>
      </w:r>
    </w:p>
    <w:p>
      <w:r>
        <w:t>Regesto Prescrizione. Art. 138 cp. 2 CO. Nozione dell'atto esecutivo (consid. 1). Rapporto tra gli art. 132 e 77 cp. 1 cifra 3 CO (consid. 2).</w:t>
      </w:r>
    </w:p>
    <w:p>
      <w:pPr>
        <w:pStyle w:val="Heading2"/>
      </w:pPr>
      <w:r>
        <w:t>Erwägungen</w:t>
      </w:r>
    </w:p>
    <w:p>
      <w:r>
        <w:rPr>
          <w:b/>
        </w:rPr>
        <w:t>E. 1</w:t>
      </w:r>
    </w:p>
    <w:p>
      <w:r>
        <w:t>La recourante soutient qu'en 1949, la prescription a été interrompue pour la dernière fois le 25 août, date à laquelle l'office lui a communiqué l'opposition formée par Fael S. A. Dès lors, dit-elle, le délai d'une année prévu par l'art. 60 CO n'était pas encore expiré lorsqu'une nouvelle réquisition de poursuite fut déposée en 1950. Selon l'art. 138 al. 2 CO, la prescription interrompue par des poursuites reprend son cours à compter de chaque acte de poursuite. Mais ces derniers termes ne peuvent désigner que les actes par lesquels le créancier ou l'office font progresser la poursuite en introduisant un nouveau stade de la procédure (cf. dans ce sens HABERSTICH, Handbuch des schweizerischen Obligationenrechts, I p. 281, ainsi que les dispositions légales citées par HAFNER, Obligationenrecht, ad art. 157 rem. 4 a, et par OSER/SCHÖNENBERGER, Kommentar zum OR, ad art. 138 rem. 4). Les simples communications de l'office relatives à des opérations passées ne constituent donc pas des actes de poursuite au sens de l'art. 138 al. 2 CO. Or c'est d'une communication de ce genre qu'il s'agit lorsque le préposé informe le créancier de l'opposition ou du défaut d'opposition, en lui remettant un exemplaire du commandement de payer conformément à l'art. 76 LP. Aussi bien cet avis ne fait-il pas avancer la procédure de poursuite au delà de son premier stade. BGE 81 II 135 S. 137 Dans le cas particulier, c'est donc le 9 août, date de la notification du commandement de payer, que la procédure a été interrompue pour la dernière fois en 1949.</w:t>
      </w:r>
    </w:p>
    <w:p>
      <w:r>
        <w:rPr>
          <w:b/>
        </w:rPr>
        <w:t>E. 2</w:t>
      </w:r>
    </w:p>
    <w:p>
      <w:r>
        <w:t>L'Union prétend toutefois que, même s'il en est ainsi, la prescription n'est pas acquise. Aux termes de l'art. 132 al. 1 CO, dit-elle, le jour à partir duquel court la prescription n'est pas compté. Le délai ne partait donc, en l'espèce, que du 10 août 1949. D'autre part, l'art. 132 al. 2 CO dispose que les règles relatives à la computation des délais en matière d'exécution des obligations sont applicables à la prescription. Or, selon l'art. 77 al. 1 ch. 3 CO, la dette est échue, si le délai est fixé par années, le jour qui correspond par son quantième à celui de la conclusion du contrat. Dans le cas particulier - conclut la recourante - le délai expirait donc le 10 août 1950 et la prescription a été interrompue en temps utile, car la réquisition de poursuite parvenue à l'office le 11 août a certainement été mise à la poste la veille. Cette thèse est erronée. Les art. 77 al. 1 ch. 3 et 132 al. 1 CO expriment en réalité le même principe. En effet, si la dette est échue le jour qui, par son quantième, correspond à celui de la conclusion du contrat, cela signifie qu'on ne compte pas le jour dont part le délai. Du reste, sous chiffre 1, l'art. 77 al. 1 le dit expressément pour le cas où le délai est fixé par jours. Ces dispositions ne sauraient dès lors être appliquées cumulativement. L'art. 132 al. 2 CO ne renvoie évidemment aux art. 77 et suiv. que dans la mesure où ceux-ci contiennent des règles qui ne figurent pas déjà à l'art. 132 al. 1. Du reste, l'interprétation proposée par la recourante aurait cette conséquence inadmissible que tous les délais de prescription et de péremption seraient prolongés d'un jour plein. On doit donc admettre, comme le Tribunal fédéral l'a toujours fait (cf. RO 42 II 332 et suiv.), que le délai de prescription expire à la fin du jour qui, par son quantième, correspond au jour à partir duquel il a commencé à courir. Dans ces conditions, la prescription était acquise, en BGE 81 II 135 S. 138 l'espèce, le 9 août 1950. Il importe peu, dès lors, de savoir si la réquisition de poursuite a été mise à la poste le 10 ou le 11 août.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