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73</w:t>
      </w:r>
    </w:p>
    <w:p>
      <w:r>
        <w:t>Bundesgericht (BGE), 1955-01-01, DE</w:t>
      </w:r>
    </w:p>
    <w:p>
      <w:r>
        <w:rPr>
          <w:b/>
        </w:rPr>
        <w:t xml:space="preserve">Quelle: </w:t>
      </w:r>
      <w:r>
        <w:t>https://mcp.opencaselaw.ch/entscheid/bge_BGE_81_III_73</w:t>
      </w:r>
    </w:p>
    <w:p>
      <w:r>
        <w:t>FR: ATF 81 III 73</w:t>
      </w:r>
    </w:p>
    <w:p>
      <w:r>
        <w:t>IT: DTF 81 III 73</w:t>
      </w:r>
    </w:p>
    <w:p>
      <w:pPr>
        <w:pStyle w:val="Heading2"/>
      </w:pPr>
      <w:r>
        <w:t>Regeste</w:t>
      </w:r>
    </w:p>
    <w:p>
      <w:r>
        <w:t>Regeste Streitwertangabe im Berufungsverfahren (Art. 55 Abs. 1 lit. a OG). Streitwert im Prozess über ein Pfandrecht bei unbestrittener Forderung (Erw. 1), - insbesondere in einem Kollokationsstreit nach Art. 250 SchKG (Erw. 2).</w:t>
      </w:r>
    </w:p>
    <w:p>
      <w:r>
        <w:t>Regeste Indication de la valeur litigieuse dans la procédure de recours en réforme (art. 55 al. 1 lettre a OJ). Valeur litigieuse en cas de procès portant sur un droit de gage garantissant une créance non contestée (cons. 1); - spécialement dans un procès en contestation de l'état de collocation selon l'art. 250 LP (cons. 2).</w:t>
      </w:r>
    </w:p>
    <w:p>
      <w:r>
        <w:t>Regesto Indicazione del valore litigioso nella procedura di ricorso per riforma (art. 55 cp. 1 lett. a OG). Valore litigioso nel processo concernente un diritto di pegno a garanzia d'un credito incontestato (consid. 1); - segnatamente quando l'azione è volta ad impugnare la graduatoria a'sensi dell'art. 250 LEF (consid. 2).</w:t>
      </w:r>
    </w:p>
    <w:p>
      <w:pPr>
        <w:pStyle w:val="Heading2"/>
      </w:pPr>
      <w:r>
        <w:t>Erwägungen</w:t>
      </w:r>
    </w:p>
    <w:p>
      <w:r>
        <w:rPr>
          <w:b/>
        </w:rPr>
        <w:t>E. 1</w:t>
      </w:r>
    </w:p>
    <w:p>
      <w:r>
        <w:t>Mit der Angabe "Streitwert: Fr. 6500.--" bezieht sich der Berufungskläger auf den Forderungsbetrag, für BGE 81 III 73 S. 75 den der Beklagten im abgeänderten Kollokationsplan ein Pfandrecht zuerkannt wurde. Diese Angabe trifft auf alle Fälle für das bundesgerichtliche Verfahren nicht mehr zu, da die Beklagte ihre Pfandansprache schon in kantonaler Instanz ermässigt, nämlich das Pfandrecht nur noch für einen Forderungsbetrag von Fr. 4250.-- in Anspruch genommen und das Obergericht demgemäss dem Kläger einen allfälligen Mehrerlös der Pfänder zugesprochen hat. Aber auch wenn man die Streitwertangabe dahin berichtigt, dass der Betrag von Fr. 6500.-- durch denjenigen von Fr. 4250.-- ersetzt wird, erweist sie sich als ungenügend. Streitig ist nicht die Forderung (gegen die der Kläger nichts eingewendet hat, und die er als der Beklagten zustehend auch vor Bundesgericht anerkennt; Seite 4 der Berufungsschrift), sondern einzig das Pfandrecht. Dessen Wert ist nun aber von vornherein nicht nur durch den Betrag der Forderung, für die das Pfand haften soll, sondern auch durch den Wert der Pfandgegenstände begrenzt. Dass dieser Wert jenen Betrag erreiche, ist nicht ohne weiteres anzunehmen. Im Streit um ein Pfandrecht muss sich die von Art. 55 Abs. 1 lit. a OG verlangte Streitwertangabe daher grundsätzlich auf zwei Zahlen stützen: den pfandgesicherten Forderungsbetrag und den Wert der Pfänder. Die Angabe jenes Betrages genügt nur, wenn die streitigen Pfänder dafür offensichtlich volle Deckung bieten. Im vorliegenden Falle ist aber der wahre Wert der Pfänder nicht offenkundig. Es handelt sich um Mobilien, die im Klage- und im Berufungsbegehren wie auch in der angefochtenen Kollokationsverfügung gar nicht genannt sind. In den Akten nach allfälligen Wertangaben zu forschen, namentlich das Konkursinventar an Hand des Pfandvertrages nachzuprüfen und die Summe der dort für die Pfandsachen eingesetzten Schätzungswerte zu ermitteln, ist nicht Sache des Bundesgerichtes. Vielmehr hat der Berufungskläger den Wert des Streitgegenstandes anzugeben, was hier nicht in sachentsprechender Weise geschehen ist.</w:t>
      </w:r>
    </w:p>
    <w:p>
      <w:r>
        <w:rPr>
          <w:b/>
        </w:rPr>
        <w:t>E. 2</w:t>
      </w:r>
    </w:p>
    <w:p>
      <w:r>
        <w:t>Auf die Berufung kann somit mangels genügender BGE 81 III 73 S. 76 Streitwertangabe nicht eingetreten werden ( BGE 71 II 252 ). Die einfach auf den Forderungsbetrag, für den die Pfänder in Anspruch genommen werden, anspielende Angabe des Berufungsklägers erweist sich noch um so mehr als mangelhaft, wenn man die Natur des Kollokationsprozesses in Betracht zieht. Wie der Kollokationsplan selbst, so hat auch ein auf dessen Änderung lautendes Urteil im Sinne von Art. 250 SchKG nur Wirkung für das Konkursverfahren. Es handelt sich lediglich um die Bereinigung der Passivmasse im Hinblick auf die Verteilung der Konkursaktiven. Beim Kollokationsstreit über ein Pfandrecht wurde bisher freilich der (den zu sichernden Forderungsbetrag nicht erreichende) Wert der Pfänder als Streitwert betrachtet (FAVRE, Cours de droit des poursuites, 303; BGE 29 II 761 = Sep.-Aug. 6 S. 356; BGE 48 II 412 ). Indessen kann daran nicht festgehalten werden, nachdem die Rechtsprechung dazu übergegangen ist, bei Bemessung des Streitwertes einer Kollokationsklage jene beschränkte Rechtskraftwirkung des Kollokationsurteils zu berücksichtigen. In der Tat hat, wenn sich die Kollokationsklage auf den gültigen Bestand einer Forderung bezieht, als Streitwert nicht mehr wie nach der frühern Betrachtungsweise der streitige Forderungsbetrag, sondern die dafür zu erwartende Konkursdividende zu gelten ( BGE 65 III 28 ff.; BGE 65 II 43 ). Das hat zur Folge, dass in solchen Fällen eine nur den streitigen Forderungsbetrag nennende Streitwertangabe ungenügend ist, da auch die darauf vermutlich entfallende Konkursdividende und damit der Betrag des wahren Streitinteresses genannt werden muss ( BGE 79 III 172 ). Demgemäss ist beim Kollokationsstreit über ein Pfandrecht zu beachten, dass bei dessen Wegfall die als solche unbestrittene Forderung immerhin in 5. (oder allenfalls sogar in einer privilegierten) Klasse am Konkursergebnis teilnimmt. Nur die Differenz macht das Streitinteresse des Pfandansprechers aus, und nur sie ("der Betrag, um welchen der Anteil des Beklagten an der Konkursmasse herabgesetzt wird") kann, wenn BGE 81 III 73 S. 77 sich der Pfandansprecher in der Beklagtenrolle befindet, nach Art. 250 Abs. 3 SchKG zur Befriedigung des Klägers dienen. Sie macht also den mit der Klage höchstens erzielbaren Prozessgewinn aus, der übrigens mit einem allfällig überschüssigen Betrag, nach Deckung von Forderung und Prozesskosten des Klägers, in die allgemeine Konkursmasse fällt ( BGE 57 III 154 ; JAEGER, N. 10 und 11 zu Art. 250 SchKG ; BLUMENSTEIN, Handbuch S. 789/90; FREY, Der Prozessgewinn, in Bl. für Schuldbetreibung und Konkurs 11 S. 39/40). Nun schweigt sich die vorliegende Streitwertangabe nicht nur über den Wert der Pfänder, sondern auch über die mutmassliche Konkursdividende für die Forderungen der 5. Klasse und damit über ein weiteres Element zur Berechnung des wahren Streitwertes aus. Auch das angefochtene Urteil enthält darüber keine Feststellungen, die der Berufung stillschweigend zugrunde gelegt sein könnten. Somit vermag die Angabe des Berufungsklägers nicht darzutun, dass das massgebende Streitinteresse den für die Berufung an das Bundesgericht erforderlichen Betrag von Fr. 4000.-- erreicht.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