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49</w:t>
      </w:r>
    </w:p>
    <w:p>
      <w:r>
        <w:t>Bundesgericht (BGE), 1955-05-05, DE</w:t>
      </w:r>
    </w:p>
    <w:p>
      <w:r>
        <w:rPr>
          <w:b/>
        </w:rPr>
        <w:t xml:space="preserve">Quelle: </w:t>
      </w:r>
      <w:r>
        <w:t>https://mcp.opencaselaw.ch/entscheid/bge_BGE_81_III_49</w:t>
      </w:r>
    </w:p>
    <w:p>
      <w:r>
        <w:t>FR: ATF 81 III 49</w:t>
      </w:r>
    </w:p>
    <w:p>
      <w:r>
        <w:t>IT: DTF 81 III 49</w:t>
      </w:r>
    </w:p>
    <w:p>
      <w:pPr>
        <w:pStyle w:val="Heading2"/>
      </w:pPr>
      <w:r>
        <w:t>Regeste</w:t>
      </w:r>
    </w:p>
    <w:p>
      <w:r>
        <w:t>Regeste Betreibungsbegehren, Zahlungsbefehl. Welche Angaben sind zur Bezeichnung von Zinsforderungen notwendig? Folgen der ungenügenden Bezeichnung einer solchen Forderung (Art. 67 Ziff. 3 und Art. 69 Ziff. 1 SchKG).</w:t>
      </w:r>
    </w:p>
    <w:p>
      <w:r>
        <w:t>Regeste Réquisition de poursuite. Commandement de payer. Quelles indications faut-il donner lorsqu'on réclame des intérêts? Conséquences d'une désignation insuffisante d'une telle créance (art. 67 ch. 3 et art. 69 ch. 1 LP).</w:t>
      </w:r>
    </w:p>
    <w:p>
      <w:r>
        <w:t>Regesto Domanda d'esecuzione. Precetto esecutivo. Quali indicazioni debbono essere fornite quando è chiesto il pagamento di interessi? Conseguenze d'una designazione insufficiente d'un siffatto credito (art. 67 cifra 3 e art. 69 cifra 1 LEF).</w:t>
      </w:r>
    </w:p>
    <w:p>
      <w:pPr>
        <w:pStyle w:val="Heading2"/>
      </w:pPr>
      <w:r>
        <w:t>Erwägungen</w:t>
      </w:r>
    </w:p>
    <w:p>
      <w:r>
        <w:rPr>
          <w:b/>
        </w:rPr>
        <w:t>E. 1</w:t>
      </w:r>
    </w:p>
    <w:p>
      <w:r>
        <w:t>Nach Art. 67 Ziff. 3 SchKG ist im Betreibungs begehren, mit dem die Einleitung einer Betreibung auf BGE 81 III 49 S. 51 Geldzahlung verlangt wird, die Forderungssumme in gesetzlicher Schweizerwährung anzugeben, bei verzinslichen Forderungen ausserdem der Zinsfuss und der Tag, von dem an der Zins gefordert wird. Aus dieser Vorschrift ergibt sich, dass der Gläubiger, der Zinsen von einem bestimmten Kapital eintreiben will, diese dann nicht in einer Summe anzugeben braucht, wenn er sie neben der zu verzinsenden Kapitalsumme, d.h. als rein akzessorische Forderung, in Betreibung setzt. Verlangt er dagegen Zinsen von einem Kapitalguthaben, das nicht Gegenstand der Betreibung ist, so kann er sich nicht mit der Angabe der zu verzinsenden Summe, des Zinsfusses und des Anfangstermins des Zinsenlaufs begnügen, sondern muss die Zinsforderung, die in diesem Falle den Charakter eines Hauptanspruchs hat, bestimmt beziffern. Ähnlich verhält es sich auch dann, wenn der Gläubiger den noch ausstehenden Teil eines ursprünglich höhern, durch Abzahlungen nach und nach verminderten Kapitalguthabens in Betreibung setzt und Zinsen nicht nur von dem bei Einleitung der Betreibung noch geschuldeten Betrag, sondern - bis zum Zeitpunkt der Zahlung - auch von den abbezahlten Teilbeträgen verlangt. In einem solchen Falle ist dem Gläubiger zuzumuten, die geforderten Zinsen mit Ausnahme derjenigen, die auf dem noch ausstehenden Kapitalbetrag seit der letzten Abzahlung laufen, in einer Summe anzugeben. Will man hierin nicht ein unerlässliches Erfordernis sehen, so muss von ihm doch zum mindesten verlangt werden, dass er genau angibt, welche Summe ursprünglich und nach jeder einzelnen Abzahlung geschuldet war und von wann bis wann eine jede dieser Kapitalsummen zu verzinsen ist (vgl. BGE 56 III 166 ). Betreibungsbegehren, die diesen Anforderungen nicht entsprechen, sind zurückzuweisen. Geschieht dies nicht, sondern erlässt das Betreibungsamt einen Zahlungsbefehl, der die Angaben des mangelhaften Betreibungsbegehrens wiederholt, so ist der Zahlungsbefehl wenigstens in Bezug auf die ungenügend bezeichnete Zinsforderung als nichtig anzusehen, da die BGE 81 III 49 S. 52 auf die klare Bezeichnung der Forderung bezüglichen Bestimmungen wie z.B. diejenigen, die eine eindeutige Bezeichnung des Gläubigers verlangen (vgl. BGE 80 III 9 Erw. 2), zwingender Natur sind. Es ist namentlich im Hinblick auf die Vorschriften über den Rechtsvorschlag ( Art. 74 SchKG ), den Umfang der Pfändung und der Verwertung (Art. 97 Abs. 2 und 119 Abs. 2 SchKG) und die Verteilung ( Art. 144 Abs. 3 SchKG ) absolut notwendig, dass der Schuldner und das Betreibungsamt anhand der Angaben des Zahlungsbefehls sich ohne Schwierigkeiten genau davon Rechenschaft geben können, wieviel die Betreibungsforderung einschliesslich der Zinsen ausmacht. Nach diesen Grundsätzen ist der vorliegende Zahlungsbefehl nichtig, soweit er sich auf Zinsen "von Fr. 545.--" bezieht. Soll es sich dabei nach der Meinung der Gläubigerin um Zinsen von einem Kapital handeln, das mit der Forderung von Fr. 48.05 nichts gemein hat, was möglich ist, da die Gläubigerin diese Forderung in der Beschwerde an die Vorinstanz als "separate Forderung" bezeichnete, so durften die Zinsen im Betreibungsbegehren und im Zahlungsbefehl nicht ohne bestimmte Bezifferung, als Nebenanspruch zur Kapitalforderung von Fr. 48.05, aufgeführt werden. Ist die Bezeichnung der Forderung aber so zu verstehen, dass der geforderte Kapitalbetrag von Fr. 48.05 der Rest eines Guthabens von ursprünglich Fr. 545.-- sei und dass der Schuldner neben den Zinsen auf der Restanz von Fr. 48.05 für die Zeit zwischen Fälligkeit und Zahlung auch noch Zinsen auf den getilgten Teilsummen schulde, welche Auslegung durch. die (freilich nicht sehr klaren) Angaben des Betreibungsbegehrens über den Forderungsgrund und dadurch nahegelegt wird, dass die Gläubigerin die Zinsen in der Beschwerde als "Verzugsgebühr" bezeichnet hat, so sind die Angaben des Zahlungsbefehls über die Zinsforderung auf jeden Fall deshalb zu bemängeln, weil daraus Zeitpunkt und Höhe der einzelnen Abzahlungen nicht ersichtlich sind. Angenommen schliesslich, der Betrag von Fr. 48.05 werde als BGE 81 III 49 S. 53 Rest eines Kapitalguthabens von Fr. 545.-- gefordert und die Gläubigerin wolle neben der Kapitalrestanz von Fr. 48.05 Zinsen vom ganzen ursprünglichen Kapitalbetrag verlangen, bis dieser vollständig getilgt ist, wofür die rein wörtliche Auslegung des Betreibungsbegehrens spricht, so ist der Zahlungsbefehl hinsichtlich der Zinsen "von Fr. 545.--" aus dem gleichen Grunde unwirksam wie in dem zuerst besprochenen Falle, dass die Forderung von Fr. 48.05 und der zu verzinsende Betrag von Fr. 545.-- überhaupt nichts miteinander zu tun haben. Wer bis zur vollständigen Tilgung einer Forderung, die ratenweise abbezahlt wird, Zinsen vom ursprünglichen Kapitalbetrag verlangt, beansprucht damit in Wirklichkeit nicht Verzugszinsen, sondern eine - dazu noch äusserst rigorose - Konventionalstrafe. (18% pro Jahr von Fr. 545.-- sind mehr als 200% pro Jahr vom Restkapital von Fr. 48.05!) Eine solche lässt sich im Betreibungsverfahren keinesfalls als akzessorischer Zinsanspruch behandeln, der durch die Angabe des zu verzinsenden Betrags, des Zinsfusses und des Anfangstermins des Zinsenlaufs genügend bezeichnet wäre, sondern muss im Betreibungsbegehren und im Zahlungsbefehl bestimmt beziffert werden, was eben nicht geschehen ist. Es ist daher nicht zu beanstanden, dass das Betreibungsamt angenommen hat, Zinsen "von Fr. 545.--" seien nicht wirksam in Betreibung gesetzt worden, sondern der eben wiedergegebene Zusatz zum Zinsbegehren sei ungültig. Dispositiv Demnach erkennt die Schuldbetr.- u. Konkurskammer: Der Rekurs wird gutgeheissen, der angefochtene Entscheid aufgehoben und die Beschwerde der Gläubigerin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