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36</w:t>
      </w:r>
    </w:p>
    <w:p>
      <w:r>
        <w:t>Bundesgericht (BGE), 1955-01-17, DE</w:t>
      </w:r>
    </w:p>
    <w:p>
      <w:r>
        <w:rPr>
          <w:b/>
        </w:rPr>
        <w:t xml:space="preserve">Quelle: </w:t>
      </w:r>
      <w:r>
        <w:t>https://mcp.opencaselaw.ch/entscheid/bge_BGE_81_III_36</w:t>
      </w:r>
    </w:p>
    <w:p>
      <w:r>
        <w:t>FR: ATF 81 III 36</w:t>
      </w:r>
    </w:p>
    <w:p>
      <w:r>
        <w:t>IT: DTF 81 III 36</w:t>
      </w:r>
    </w:p>
    <w:p>
      <w:pPr>
        <w:pStyle w:val="Heading2"/>
      </w:pPr>
      <w:r>
        <w:t>Regeste</w:t>
      </w:r>
    </w:p>
    <w:p>
      <w:r>
        <w:t>Regeste Über die richtige Anwendung des Gebührentarifs durch eine Arrestbehörde haben die Aufsichtsbehörden nicht zu entscheiden. Art. 16 des Gebührentarifs, Art. 17 ff. und 279 SchKG.</w:t>
      </w:r>
    </w:p>
    <w:p>
      <w:r>
        <w:t>Regeste Les autorités de poursuite n'ont pas à rechercher si les autorités de séquestre ont bien ou mal appliqué le Tarif des frais. Art. 16 du Tarif, art. 17 et suiv. et 279 LP.</w:t>
      </w:r>
    </w:p>
    <w:p>
      <w:r>
        <w:t>Regesto Le autorità di vigilanza non devono pronunciarsi sull'applicazione corretta della tariffa delle spese da parte delle autorità di sequestro. Art. 16 della tariffa, art. 17 sgg. e 279 LEF.</w:t>
      </w:r>
    </w:p>
    <w:p>
      <w:pPr>
        <w:pStyle w:val="Heading2"/>
      </w:pPr>
      <w:r>
        <w:t>Volltext</w:t>
      </w:r>
    </w:p>
    <w:p>
      <w:r>
        <w:t>Bundesgericht (BGE) Band III 1955 BGE 81 III 36 Tribunal fédéral (ATF) Volume III 1955 BGE 81 III 36 Tribunale federale (DTF) Volume III 1955 BGE 81 III 36</w:t>
      </w:r>
    </w:p>
    <w:p>
      <w:r>
        <w:t>Regeste Über die richtige Anwendung des Gebührentarifs durch eine Arrestbehörde haben die Aufsichtsbehörden nicht zu entscheiden. Art. 16 des Gebührentarifs, Art. 17 ff. und 279 SchKG. Regeste Les autorités de poursuite n'ont pas à rechercher si les autorités de séquestre ont bien ou mal appliqué le Tarif des frais. Art. 16 du Tarif, art. 17 et suiv. et 279 LP. Regesto Le autorità di vigilanza non devono pronunciarsi sull'applicazione corretta della tariffa delle spese da parte delle autorità di sequestro. Art. 16 della tariffa, art. 17 sgg. e 279 LEF.</w:t>
      </w:r>
    </w:p>
    <w:p>
      <w:r>
        <w:t>Urteilskopf 81 III 36 12. Auszug aus dem Entscheid vom 17. Januar 1955 i. S. Schüpbach. Regeste Über die richtige Anwendung des Gebührentarifs durch eine Arrestbehörde haben die Aufsichtsbehörden nicht zu entscheiden. Art. 16 des Gebührentarifs, Art. 17 ff. und 279 SchKG . Sachverhalt ab Seite 36 BGE 81 III 36 S. 36 A.- Johann Schüpbach stellte bei der Arrestbehörde (Gerichtspräsident) von Büren ein Arrestgesuch gegen Werner Krieg. Die Behörde forderte einen Kostenvorschuss von Fr. 30.-. Der Gesuchsteller fand diesen Betrag übersetzt und führte bei der kantonalen Aufsichtsbehörde für Schuldbetreibung und Konkurs Beschwerde mit Hinweis auf den Gebührentarif zum SchKG. B.- Die kantonale Aufsichtsbehörde trat am 5. Januar 1955 wegen fehlender Zuständigkeit nicht auf die Beschwerde ein. C.- Mit vorliegendem Rekurs hält der Gesuchsteller an der Beschwerde fest. Erwägungen Die Schuldbetreibungs- und Konkurskammer zieht in Erwägung: Gegen den Arrestbefehl findet weder Berufung noch Beschwerde statt ( Art. 279 Abs. 1 SchKG ). Die Arrestbehörden BGE 81 III 36 S. 37 unterstehen somit nicht den Aufsichtsbehörden für Schuldbetreibung und Konkurs. Übrigens sind ihre Aufgaben in den meisten Kantonen einem Richter übertragen. Somit kommt aber eine Beschwerdeführung bei den Aufsichtsbehörden auch nicht in Frage wegen der Art der Anwendung des Gebührentarifs zum SchKG durch die Arrestbehörden. Nichts Abweichendes folgt aus Art. 16 des Gebührentarifs, wonach die Aufsichtsbehörden von Amtes wegen über die richtige Anwendung des Tarifs wachen. Das versteht sich nur im Bereich der ihnen nach dem Gesetze zustehenden Aufsichtsgewalt, also nur hinsichtlich der Kostenverfügungen der ihnen unterstellten Organe des Betreibungs-, Konkurs- und Nachlassverfahrens. Diese Grenzen der Zuständigkeit der Aufsichtsbehörden sind auch in Tariffragen zu beachten (vgl. BLUMENSTEIN'Handbuch S. 133; JAEGER, N 4 zu Art. 17 SchKG ). Daran konnte und wollte die erwahnte Vorschrift des geltenden Tarifs als einer vom Bundesrat auf Grund von Art. 16 SchKG erlassenen Verordnung nichts ändern.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