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33</w:t>
      </w:r>
    </w:p>
    <w:p>
      <w:r>
        <w:t>Bundesgericht (BGE), 1955-02-14, FR</w:t>
      </w:r>
    </w:p>
    <w:p>
      <w:r>
        <w:rPr>
          <w:b/>
        </w:rPr>
        <w:t xml:space="preserve">Quelle: </w:t>
      </w:r>
      <w:r>
        <w:t>https://mcp.opencaselaw.ch/entscheid/bge_BGE_81_III_33</w:t>
      </w:r>
    </w:p>
    <w:p>
      <w:r>
        <w:t>FR: ATF 81 III 33</w:t>
      </w:r>
    </w:p>
    <w:p>
      <w:r>
        <w:t>IT: DTF 81 III 33</w:t>
      </w:r>
    </w:p>
    <w:p>
      <w:pPr>
        <w:pStyle w:val="Heading2"/>
      </w:pPr>
      <w:r>
        <w:t>Regeste</w:t>
      </w:r>
    </w:p>
    <w:p>
      <w:r>
        <w:t>Regeste Mit der Bestätigung des Nachlassvertrages fallen die Pfändungen dahin, deren Gegenstand nicht schon vor der Bewilligung der Stundung verwertet worden ist. Die Überweisung einer gepfändeten Forderung an den betreibenden Gläubiger zur Eintreibung (Art. 131 Abs. 2 SchKG) ist einer Verwertung im Sinne von Art. 312 SchKG nicht gleichzuachten.</w:t>
      </w:r>
    </w:p>
    <w:p>
      <w:r>
        <w:t>Regeste L'homologation du concordat fait tomber les saisies dont l'objet n'a pas été réalisé avant l'octroi du sursis. Le fait de donner mandat au créancier poursuivant d'encaisser la créance saisie n'est pas assimilable à une réalisation de cette créance au sens de l'art. 312 LP.</w:t>
      </w:r>
    </w:p>
    <w:p>
      <w:r>
        <w:t>Regesto Con l'omologazione del concordato i pignoramenti il cui oggetto non è stato realizzato prima della concessione della moratoria divengono caduchi. Il mandato conferito al creditore procedente d'incassare il credito pignorato (art. 131 cp. 2 LEF) non può essere parificato a una realizzazione di questo credito nel senso dell'art. 312 LEF.</w:t>
      </w:r>
    </w:p>
    <w:p>
      <w:pPr>
        <w:pStyle w:val="Heading2"/>
      </w:pPr>
      <w:r>
        <w:t>Erwägungen</w:t>
      </w:r>
    </w:p>
    <w:p>
      <w:r>
        <w:rPr>
          <w:b/>
        </w:rPr>
        <w:t>E. 1</w:t>
      </w:r>
    </w:p>
    <w:p>
      <w:r>
        <w:t>Aux termes de l'art. 312 LP, l'homologation du concordat fait tomber les saisies dont l'objet n'a pas été réalisé avant le sursis concordataire, c'est-à-dire avant l'octroi du sursis (RO 59 III 31). Le litige se ramène à la question de savoir si, à la date du 26 octobre 1953, la créance saisie était ou non réalisée. Le fait que la recourante avait reçu mandat d'encaisser la créance litigieuse n'équivalait pas encore à une réalisation au sens de l'art. 312. En pareil cas, la créance n'est réalisée que lorsqu'elle est payée par le tiers débiteur (cf. JAEGER, art. 199 note 2). Or, au moment où, en l'espèce, le débiteur poursuivi a obtenu le sursis concordataire, le tiers débiteur n'avait encore rien payé à l'office. Aurait-il même donné suite aux sommations qu'il avait reçues de verser à l'office le montant des retenues ordonnées lors de la saisie, qu'il se fût agi là d'une simple consignation et non pas d'un payement que l'office eût pu accepter au nom et pour le compte de la créancière. Il est donc évident que l'homologation du concordat a fait tomber la saisie. En adoptant l'opinion des autorités cantonales, on arriverait à ce que l'art. 312 LP veut précisément éviter, c'est-à-dire à ce qu'un créancier reçoive plus que le dividende concordataire (RO 59 III 30 et 31). La créancière poursuivante a du reste produit dans la procédure concordataire pour le montant total de ses prétentions et elle a touché le dividende y afférent; il est dès lors naturel BGE 81 III 33 S. 36 qu'elle ne puisse plus se prévaloir des droits qu'aurait pu, en d'autres circonstances, lui assurer la saisie. Dispositiv La Chambre des poursuites et des faillites prononce: Le recours est admis et la décision rendue par la Cour des poursuites et faillites du Tribunal cantonal vaudois, le 16 décembre 1954, réformée en ce sens que la saisie du 24 mai 1951 a cessé de produire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