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3</w:t>
      </w:r>
    </w:p>
    <w:p>
      <w:r>
        <w:t>Bundesgericht (BGE), 1955-01-01, IT</w:t>
      </w:r>
    </w:p>
    <w:p>
      <w:r>
        <w:rPr>
          <w:b/>
        </w:rPr>
        <w:t xml:space="preserve">Quelle: </w:t>
      </w:r>
      <w:r>
        <w:t>https://mcp.opencaselaw.ch/entscheid/bge_BGE_81_III_3</w:t>
      </w:r>
    </w:p>
    <w:p>
      <w:r>
        <w:t>FR: ATF 81 III 3</w:t>
      </w:r>
    </w:p>
    <w:p>
      <w:r>
        <w:t>IT: DTF 81 III 3</w:t>
      </w:r>
    </w:p>
    <w:p>
      <w:pPr>
        <w:pStyle w:val="Heading2"/>
      </w:pPr>
      <w:r>
        <w:t>Regeste</w:t>
      </w:r>
    </w:p>
    <w:p>
      <w:r>
        <w:t>Regeste 1. Die Aufsichtsbehörden sind befugt, von Amtes wegen und gleichgültig ob rechtzeitig Beschwerde geführt wurde, die Verfügungen der Betreibungsämter aufzuheben, die gegen eine schlechthin zwingende Gesetzesvorschrift verstossen oder im Einzelfalle öffentliche Interessen oder Interessen Dritter, die am Betreibungsverfahren nicht teilnehmen, verletzen (Erw. 1). 2. Genaue Bezeichnung des Pfandes im Betreibungsbegehren und im Zahlungsbefehl (Erw. 2).</w:t>
      </w:r>
    </w:p>
    <w:p>
      <w:r>
        <w:t>Regeste 1. Les autorités de surveillance ont qualité pour annuler d'office, sans égard à la question de savoir si la plainte a été formée en temps utile, les décisions des offices qui violent une disposition impérative de la loi ou lèsent dans le cas particulier des intérêts publics ou des intérêts de tiers étrangers à la procédure (consid. 1). 2. Désignation exacte du gage dans la réquisition de poursuite et le commandement de payer (consid. 2).</w:t>
      </w:r>
    </w:p>
    <w:p>
      <w:r>
        <w:t>Regesto 1. Facoltà delle autorità di vigilanza di annullare d'officio e senza riguardo alla tempestività del gravame le decisioni degli uffici di esecuzione che violino una disposizione imperativadella legge oppure ledano nel caso concreto interessi pubblici o di terzi estranei alla procedura (consid. 1). 2. Individuazione dell'oggetto del pegno nella domanda di esecuzione e nel precetto esecutivo (consid. 2).</w:t>
      </w:r>
    </w:p>
    <w:p>
      <w:pPr>
        <w:pStyle w:val="Heading2"/>
      </w:pPr>
      <w:r>
        <w:t>Erwägungen</w:t>
      </w:r>
    </w:p>
    <w:p>
      <w:r>
        <w:rPr>
          <w:b/>
        </w:rPr>
        <w:t>E. 1</w:t>
      </w:r>
    </w:p>
    <w:p>
      <w:r>
        <w:t>La giurisprudenza del Tribunale federale riconosce alle Autorità cantonali di vigilanza la competenza, fondata sull'art. 13 LEF, di annullare d'ufficio e senza riguardo alla tempestività del gravame con cui sono adite le decisioni degli Uffici di esecuzione che violino una disposizione imperativa della legge oppure ledano nel caso concreto interessi pubblici o interessi di terzi estranei alla procedura esecutiva (RU 79 III 9 e sentenze ivi citate). Di tale facoltà si è valsa nella fattispecie l'autorità cantonale per annullare l'esecuzione, adducendo che era stata promossa con una domanda che non precisava l'oggetto del pegno e non ossequiava pertanto una formalità essenziale.</w:t>
      </w:r>
    </w:p>
    <w:p>
      <w:r>
        <w:rPr>
          <w:b/>
        </w:rPr>
        <w:t>E. 2</w:t>
      </w:r>
    </w:p>
    <w:p>
      <w:r>
        <w:t>A norma dell'art. 151 cp. 1 LEF, la domanda d'esecuzione per un credito garantito da pegno manuale o da ipoteca deve enunciare tra altro anche l'oggetto del pegno. Scopo di questa disposizione è, come il Tribunale federale ha dichiarato nella sua sentenza RU 28 I 215 (= ed. spec. vol. V 118/119), di far conoscere al debitore e all'ufficio d'esecuzione i beni sui quali il creditore procedente asserisce di avere un diritto di pegno. Nella fattispecie di allora la menzione "Iscrizione ipotecaria del 21 maggio 1900, no 203, del vol. XVI", contenuta nel precetto, non era stata ritenuta sufficiente. Posteriormente la giurisprudenza ha però temperato il rigore d'una precisa individuazione dell'oggetto del pegno nella domanda di esecuzione e pertanto nel precetto esecutivo ( art. 69 e 152 LEF): con la sentenza RU 52 III 174 il Tribunale federale ha statuito che non occorre menzionare BGE 81 III 3 S. 6 anche gli accessori d'un immobile da realizzare; con la sentenza RU 70 III 54 sgg. ha giudicato che l'indicazione del certificato di deposito di azioni depositate all'estero invece delle azioni stesse era sufficiente. Se si considera che in virtù dell'art. 99 RRF, comunicata la domanda di realizzazione al debitore, l'ufficio deve farsi rilasciare un estratto del registro fondiario e procedere alla stima del fondo, si deve convenire che l'indicazione nella domanda d'esecuzione di tutti i dettagli del pegno non può essere considerata come una condizione indispensabile a'sensi dell'art. 151 cp. 1 LEF. In concreto la specificazione dei beni immobili della debitrice siti nei Comuni di Ponte Tresa e Croglio, la menzione della superficie totale dei fondi e il preciso riferimento alle iscrizioni nel registro dei pegni immobiliari (numero dell'iscrizione e volume) soddisfacevano alle esigenze dell'art. 151 cp. 1 LEF. I dati forniti dalla creditrice procedente ragguagliavano sufficientemente la debitrice e bastavano anche per l'ufficio che, dopo di aver steso e notificato il precetto conformemente al contenuto della domanda d'esecuzione, non avrebbe dovuto rifiutarsi di procedere alle dovute indagini presso il registro fondiario (art. 99 RRF). E'quindi a torto che l'autorità cantonale ha proceduto d'officio all'annullamento dell'esecuzione. Il reclamo della debitrice 3 novembre 1954, provocato dalla domanda di vendita, ma diretto esclusivamente contro il precetto esecutivo notificatole in data 9 aprile 1954, era palesemente tardivo ed avrebbe pertanto dovuto essere dichiarato irricevibile. Dispositiv La Camera di esecuzione e dei fallimenti pronuncia: Il ricorso è accolto, la querelata decisione annullata e il reclamo 3 novembre 1954 della Bairag S. A.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