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24</w:t>
      </w:r>
    </w:p>
    <w:p>
      <w:r>
        <w:t>Bundesgericht (BGE), 1955-02-04, DE</w:t>
      </w:r>
    </w:p>
    <w:p>
      <w:r>
        <w:rPr>
          <w:b/>
        </w:rPr>
        <w:t xml:space="preserve">Quelle: </w:t>
      </w:r>
      <w:r>
        <w:t>https://mcp.opencaselaw.ch/entscheid/bge_BGE_81_III_24</w:t>
      </w:r>
    </w:p>
    <w:p>
      <w:r>
        <w:t>FR: ATF 81 III 24</w:t>
      </w:r>
    </w:p>
    <w:p>
      <w:r>
        <w:t>IT: DTF 81 III 24</w:t>
      </w:r>
    </w:p>
    <w:p>
      <w:pPr>
        <w:pStyle w:val="Heading2"/>
      </w:pPr>
      <w:r>
        <w:t>Regeste</w:t>
      </w:r>
    </w:p>
    <w:p>
      <w:r>
        <w:t>Regeste Aussonderung im Konkurs. Pflicht der Konkursverwaltung, über einen auf Grund eines Kaufvertrags mit Eigentumsvorbehalt nach Ablauf der Eingabefrist angemeldeten Eigentumsanspruch eine Verfügung im Sinne von Art. 242 SchKG zu treffen, auch wenn vorher auf Grund des gleichen Vertrags eine pfandgesicherte Forderung eingegeben und kolloziert worden war.</w:t>
      </w:r>
    </w:p>
    <w:p>
      <w:r>
        <w:t>Regeste Ségrégation dans la faillite. L'administration de la faillite est tenue de prendre une décision dans le sens de l'art. 242 LP au sujet d'une revendication annoncée en vertu d'un contrat de vente avec réserve de propriété après l'expiration du délai de production, alors même qu'antérieurement on aurait, en vertu du même contrat, produit et colloqué une créance garantie par gage.</w:t>
      </w:r>
    </w:p>
    <w:p>
      <w:r>
        <w:t>Regesto Rivendicazione nel fallimento. L'amministrazione del fallimento deve prendere una decisione a'sensi dell'art. 242 LEF circa una rivendicazione fatta, in virtù di un contratto di vendita con riserva della proprietà, dopo la scadenza del termine di insinuazione, quand'anche in precedenza sia stato insinuato e collocato, in virtù del medesimo contratto, un credito garantito da pegno.</w:t>
      </w:r>
    </w:p>
    <w:p>
      <w:pPr>
        <w:pStyle w:val="Heading2"/>
      </w:pPr>
      <w:r>
        <w:t>Erwägungen</w:t>
      </w:r>
    </w:p>
    <w:p>
      <w:r>
        <w:rPr>
          <w:b/>
        </w:rPr>
        <w:t>E. 1</w:t>
      </w:r>
    </w:p>
    <w:p>
      <w:r>
        <w:t>Die Kollokationsverfügung des Konkursamtes entsprach genau der Konkurseingabe der Rekurrentin. Diese wurde also durch jene Verfügung nicht beschwert und konnte folglich dagegen nicht Beschwerde führen. Anlass zu einer Beschwerde erhielt sie erst, als das Konkursamt am 16. November 1954 das von ihr am 9. November 195 gestellte Begehren ablehnte, über ihren Eigentumsanspruch eine Verfügung im Sinne von Art. 242 SchKG zu treffen. Die Beschwerde vom 17. November 1954 ist demnach rechtzeitig.</w:t>
      </w:r>
    </w:p>
    <w:p>
      <w:r>
        <w:rPr>
          <w:b/>
        </w:rPr>
        <w:t>E. 2</w:t>
      </w:r>
    </w:p>
    <w:p>
      <w:r>
        <w:t>Eine Drittansprache ist auch dann zu berücksichtigen, wenn sie erst nach Ablauf der Eingabefrist von BGE 81 III 24 S. 26 Art. 232 Ziff. 2 SchKG angemeldet wird ( BGE 31 I 513 ff., BGE 39 I 132 = Separatausgabe 8 S. 221 ff., 16 S. 14). Der Umstand, dass die Rekurrentin zunächst eine pfandgesicherte Forderung eingegeben hatte und diese im Kollokationsplan zugelassen worden war, hinderte das Konkursamt keineswegs, über den am 9. November 1954 auf Grund des gleichen Vertrags angemeldeten Eigentumsanspruch einen Entscheid gemäss Art. 242 SchKG herbeizuführen. Mit der Anmeldung dieses Anspruchs zog die Rekurrentin ihre Forderungseingabe, die sie als irrtümlich erfolgt bezeichnete, zurück, womit die Kollokation der pfandgesicherten Forderung hinfällig und der Kollokationsprozess gegenstandslos wurde. Ob die Rekurrentin damit, dass sie zunächst eine pfandgesicherte Forderung eingab, den Eigentumsvorbehalt verwirkt habe, wie das Konkursamt gemäss Ziffer 6 seiner Vernehmlassung vom 26. November 1954 annimmt, ist eine Frage des materiellen Rechts, über die das Konkursamt im Rahmen von Art. 242 SchKG entscheiden muss. Die Annahme, dass ein Aussonderungsanspruch unbegründet sei, kann die Verweigerung der Anwendung von Art. 242 SchKG keinesfalls rechtfertigen, sondern nur ein Motiv für die Abweisung des Anspruchs und die Ansetzung einer Klagefrist an den Ansprecher bilden. Dispositiv Demnach erkennt die Schuldbetr.- u. Konkurskammer: Der Rekurs wird gutgeheissen, der angefochtene Entscheid aufgehoben und das Konkursamt Werdenberg angewiesen, über den von der Rekurrentin am 9. November 1954 angemeldeten Eigentumsanspruch gemäss Art. 242 SchKG eine Verfügung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