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20</w:t>
      </w:r>
    </w:p>
    <w:p>
      <w:r>
        <w:t>Bundesgericht (BGE), 1955-01-01, FR</w:t>
      </w:r>
    </w:p>
    <w:p>
      <w:r>
        <w:rPr>
          <w:b/>
        </w:rPr>
        <w:t xml:space="preserve">Quelle: </w:t>
      </w:r>
      <w:r>
        <w:t>https://mcp.opencaselaw.ch/entscheid/bge_BGE_81_III_20</w:t>
      </w:r>
    </w:p>
    <w:p>
      <w:r>
        <w:t>FR: ATF 81 III 20</w:t>
      </w:r>
    </w:p>
    <w:p>
      <w:r>
        <w:t>IT: DTF 81 III 20</w:t>
      </w:r>
    </w:p>
    <w:p>
      <w:pPr>
        <w:pStyle w:val="Heading2"/>
      </w:pPr>
      <w:r>
        <w:t>Regeste</w:t>
      </w:r>
    </w:p>
    <w:p>
      <w:r>
        <w:t>Regeste Kollokationsverfahren in der Betreibung auf Pfändung, Art. 146 bis 148 SchK G. 1. Ein Gläubiger, der seine eigene Kollokation bestreitet, hat auf dem Beschwerdeweg vorzugehen. Befugnis des Schuldners zur Anfechtung des Kollokationsplanes (Erw. 1). 2. Die Ausstellung eines Verlustscheins lässt das der Forderung zukommende Privileg unberührt (Erw. 2 a). 3. Im Kollokationsplan sind die Forderungen so aufzunehmen, wie sie aus den dem Pfändungsbegehren vorausgegangenen Verfahren hervorgehen (Erw. 2 b).</w:t>
      </w:r>
    </w:p>
    <w:p>
      <w:r>
        <w:t>Regeste Procédure de collocation en matière de poursuite par voie de saisie, art. 146 à 148 LP. 1. Le créancier qui conteste sa propre collocation doit agir par la voie de la plainte. Qualité du débiteur pour attaquer l'état de collocation (consid. 1). 2. La délivrance d'un acte de défaut de biens ne porte pas atteinte au privilège attaché à la créance (consid. 2 a). 3. L'office doit porter les créances à l'état de collocation telles qu'elles résultent des procédures qui ont précédé les réquisitions de saisie (consid. 2 b).</w:t>
      </w:r>
    </w:p>
    <w:p>
      <w:r>
        <w:t>Regesto Graduatoria in materia di esecuzione in via di pignoramento art. 146-148 LEF. 1. Il creditore che contesta la collocazione d'un proprio credito deve agire mediante reclamo. Veste del debitore per impugnare la graduatoria (consid. 1). 2. Il rilascio di un atto di carenza di beni non pregiudica la posizione privilegiata del creditore (consid. 2 a). 3. L'ufficio deve collocare i crediti cosi come risultano dalle procedure anteriori alle domande di pignoramento (consid. 2 b).</w:t>
      </w:r>
    </w:p>
    <w:p>
      <w:pPr>
        <w:pStyle w:val="Heading2"/>
      </w:pPr>
      <w:r>
        <w:t>Erwägungen</w:t>
      </w:r>
    </w:p>
    <w:p>
      <w:r>
        <w:rPr>
          <w:b/>
        </w:rPr>
        <w:t>E. 1</w:t>
      </w:r>
    </w:p>
    <w:p>
      <w:r>
        <w:t>Lorsque le produit de la réalisation ne suffit pas pour payer intégralement tous les créanciers, l'Office doit, aux termes de l'art. 146 LP, dresser un état de collocation où les créanciers sont admis au rang auquel ils auraient droit en cas de faillite (art. 219 LP). L'Office des poursuites de Morges a omis cette formalité et, en violation de la loi, a passé directement à la distribution des deniers. Il a ainsi privé les intéressés de la possibilité de contester régulièrement les collocations. Aussi bien la plainte, dirigée formellement contre l'acte de défaut de biens du 25 octobre 1954, vise-t-elle en réalité la collocation implicite par laquelle la créance de la Caisse nationale a été rangée en cinquième classe. Il s'agit d'abord de juger si, dans ces conditions, la plainte était recevable. En vertu de l'art. 148 LP, chaque créancier peut attaquer l'état de collocation au moyen d'une action intentée aux intéressés devant le juge du ressort de la poursuite. Mais, selon une jurisprudence constante (cf. notamment RO 31 II 821 et 64 III 135), l'action en justice n'est ouverte qu'au créancier qui critique la collocation d'un autre. Lorsqu'il conteste sa propre collocation, il doit agir par la voie de la plainte. Si celle-ci est admise, l'Office des poursuites dresse un nouvel état de collocation, que les autres créanciers peuvent attaquer en justice en vertu de l'art. 148 LP (RO 51 III 32 consid. 1). En l'espèce, c'est donc avec raison que les juridictions cantonales ont déclaré recevable la plainte de la Caisse nationale. Quant au débiteur, il n'a pas qualité pour intenter une action en contestation de l'état de collocation selon l'art. 148 LP. En revanche, il a intérêt à ce que la procédure BGE 81 III 20 S. 23 d'exécution forcée dirigée contre lui se déroule régulièrement et que chacun des créanciers participants ne reçoive satisfaction que dans la stricte mesure de ses droits. Aussi peut-il attaquer l'état de collocation par une plainte, s'il estime que l'Office des poursuites a violé les règles de la loi sur la poursuite (dans le même sens BLUMENSTEIN, Schuldbetreibungsrecht, p. 492; FAVRE, Cours de droit des poursuites, p. 218). De même, il est habile à recourir si, à son avis, cette violation a été commise par l'autorité de surveillance, sur plainte du créancier. Le recours de Zobrist est donc recevable.</w:t>
      </w:r>
    </w:p>
    <w:p>
      <w:r>
        <w:rPr>
          <w:b/>
        </w:rPr>
        <w:t>E. 2</w:t>
      </w:r>
    </w:p>
    <w:p>
      <w:r>
        <w:t>Au fond, les moyens invoqués par le recourant ne peuvent être accueillis. a) Ainsi que le Tribunal fédéral l'a déjà jugé (RO 69 III 91), la délivrance d'un acte de défaut de biens n'emporte pas novation de la créance. Celle-ci ne subit aucune modification sauf qu'elle ne porte plus intérêt, qu'elle est imprescriptible (art. 149 al. 4 et 5 LP) et que, s'il s'agit d'un acte de défaut de biens après faillite, elle ne peut donner lieu à une nouvelle poursuite tant que le débiteur n'est pas revenu à meilleure fortune (art. 265 al. 2 LP). Lors donc qu'elle bénéficie d'un privilège en vertu de la loi sur la poursuite, celui-ci reste intact et peut être invoqué dans une procédure ultérieure. b) Quant à l'argument que l'Office des poursuites et le recourant tirent d'un prétendu délai de prescription de cinq ans, il n'est pas clair. Il semble que, dans leur idée, il s'agisse d'un délai du droit de poursuite limitant le privilège dont la Caisse nationale bénéficie en vertu de l'art. 219 al. 4 LP. Mais, dans cette hypothèse, leur moyen ne serait pas fondé: ni la loi sur la poursuite ni aucune autre loi ne restreint à cinq ans la durée du privilège attaché aux primes de la Caisse nationale. D'autre part, le recourant cite l'art. 128 CO. Il paraît donc se prévaloir d'un délai de prescription relevant du droit matériel. Mais, si l'Office des poursuites avait tenu compte spontanément d'une telle prescription dans la collocation des BGE 81 III 20 S. 24 créances, il aurait enfreint les limites tracées par la loi à sa compétence. En effet, en dressant l'état de collocation, il ne peut se faire juge des prétentions des créanciers mais il doit prendre celles-ci en considération telles qu'elles résultent des procédures qui ont précédé les réquisitions de saisie. Dès lors, le recours de Zobrist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