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153</w:t>
      </w:r>
    </w:p>
    <w:p>
      <w:r>
        <w:t>Bundesgericht (BGE), 1955-01-01, DE</w:t>
      </w:r>
    </w:p>
    <w:p>
      <w:r>
        <w:rPr>
          <w:b/>
        </w:rPr>
        <w:t xml:space="preserve">Quelle: </w:t>
      </w:r>
      <w:r>
        <w:t>https://mcp.opencaselaw.ch/entscheid/bge_BGE_81_III_153</w:t>
      </w:r>
    </w:p>
    <w:p>
      <w:r>
        <w:t>FR: ATF 81 III 153</w:t>
      </w:r>
    </w:p>
    <w:p>
      <w:r>
        <w:t>IT: DTF 81 III 153</w:t>
      </w:r>
    </w:p>
    <w:p>
      <w:pPr>
        <w:pStyle w:val="Heading2"/>
      </w:pPr>
      <w:r>
        <w:t>Regeste</w:t>
      </w:r>
    </w:p>
    <w:p>
      <w:r>
        <w:t>Regeste Arrestprosequierung (Art. 278 SchKG). 1. Vor Bewilligung des Arrestes eingeleitete Klage? 2. Die Frist von Art. 278 Abs. 2 Satz 1 SchKG wird durch die Einleitung der Forderungsklage gewahrt, auch wenn der Gläubiger die Möglichkeit gehabt hätte, provisorische Rechtsöffnung zu verlangen. 3. Hinfall des Arrestes infolge nicht behebbarer formeller Mängel der Forderungsklage (Art. 278 Abs. 4 SchKG).</w:t>
      </w:r>
    </w:p>
    <w:p>
      <w:r>
        <w:t>Regeste Validation du séquestre (art. 278 LP). 1. L'action a-t-elle été intentée avant que le séquestre ait été autorisé? 2. Le créancier qui introduit l'action en reconnaissance de la dette dans le délai prévu à l'art. 278 al. 2 première phrase agit en temps utile même s'il lui avait été possible de requérir la mainlevée provisoire. 3. Caducité du séquestre résultant de ce que l'action en reconnaissance de la dette est atteinte d'un vice de forme non réparable (art. 278 al. 4 LP).</w:t>
      </w:r>
    </w:p>
    <w:p>
      <w:r>
        <w:t>Regesto Convalida del sequestro (art. 278 LEF). 1. È l'azione stata promossa prima che il sequestro sia stato ottenuto? 2. Il creditore che promuove l'azione di riconoscimento del debito nel termine previsto dall'art. 278 cp. 2 prima frase LEF agisce in tempo utile quand'anche abbia avuto la possibilità di domandare il rigetto provvisorio dell'opposizione. 3. Revoca del sequestro qualora l'azione di riconoscimento del debito contenga un vizio di forma che non può essere sanato (art. 278 cp. 4 LEF).</w:t>
      </w:r>
    </w:p>
    <w:p>
      <w:pPr>
        <w:pStyle w:val="Heading2"/>
      </w:pPr>
      <w:r>
        <w:t>Erwägungen</w:t>
      </w:r>
    </w:p>
    <w:p>
      <w:r>
        <w:rPr>
          <w:b/>
        </w:rPr>
        <w:t>E. 1</w:t>
      </w:r>
    </w:p>
    <w:p>
      <w:r>
        <w:t>Die Vorinstanz nimmt an, der streitige Arrest sei deshalb bestehen geblieben, weil die Gläubigerin schon vor Bewilligung des Arrestes im Zusammenhang mit ihrem Scheidungsbegehren Klage auf Anerkennung und Bezahlung ihrer Frauengutsansprüche eingeleitet habe und diese Klage noch hängig sei. Der Bewilligung des Arrestes sind jedoch nur das Vermittlungsbegehren und der Vermittlungsvorstand im Scheidungsprozess vorausgegangen. Dabei hatte die Gläubigerin bloss das Begehren gestellt, ihr Ehemann habe ihr einen Betrag von Fr. 6000.-- gemäss Vereinbarung als Entschädigung unter allen Titeln zu bezahlen. Sie nahm dabei unzweifelhaft auf die Vereinbarung der Parteien vom 29. September 1954 Bezug, deren Ziffer 4 lautet: "Herr Speck anerkennt gegenüber seiner Ehefrau per Saldo aller ihrer Ansprüche einen Betrag von Fr. 6000.--, zahlbar nach Rechtskraft des Scheidungsurteils und sobald es dannzumal Herrn Speck möglich sein wird." Es kann keine Rede davon sein, dass die Gläubigerin mit dem Begehren, der Schuldner habe ihr Fr. 6000.-- gemäss dieser Vereinbarung zu zahlen, die Forderung von Fr. 9000.-- eingeklagt habe, für die sie dann im Januar 1955 den Arrest erwirkte. Die Klageschrift an das Bezirksgericht und die Eingabe, mit welcher die Gläubigerin in Abänderung von Klagebegehren 3 die Bezahlung von Fr. 9000.-- verlangte, wurden erst nach Bewilligung des Arrestes eingereicht. Diese prozessualen Schritte fallen daher bei Beurteilung der Frage, ob die Arrestforderung schon vor Bewilligung des Arrestes gerichtlich eingeklagt worden sei, von vorneherein ausser Betracht. Eine solche Klage war also zur Zeit der Bewilligung des Arrestes noch nicht eingeleitet. Die Gläubigerin hat es denn auch seinerzeit selber für nötig befunden, nach Zustellung der Arresturkunde Betreibung und hernach Klage einzuleiten. BGE 81 III 153 S. 157</w:t>
      </w:r>
    </w:p>
    <w:p>
      <w:r>
        <w:rPr>
          <w:b/>
        </w:rPr>
        <w:t>E. 2</w:t>
      </w:r>
    </w:p>
    <w:p>
      <w:r>
        <w:t>Die Betreibung Nr. 12374 ist unstreitig innert der Frist von Art. 278 Abs. 1 SchKG angehoben worden. Mit dem Vermittlungsbegehren vom 28. Februar 1955 hat die Gläubigerin auch die Frist von Art. 278 Abs. 2 gewahrt. Rechtsöffnung zu verlangen, statt die Forderungsklage anzuheben, war sie, wie die Vorinstanz mit Recht angenommen hat, nicht gehalten, auch wenn sie in den beiden Konkursverlustscheinen gemäss Art. 265 Abs. 1 SchKG eine Schuldanerkennung besass, da darin angegeben war, dass der Schuldner die Forderung anerkannt habe. Die Entscheide und die Kommentarstelle, mit denen der Rekurrent seine gegenteilige Ansicht zu stützen sucht ( BGE 35 I 804 , BGE 67 III 157 , JAEGER/DAENIKER N. 10 zu Art. 278 SchKG ), befassen sich überhaupt nicht mit der Frage, ob der Gläubiger gegebenenfalls zwischen Rechtsöffnungsbegehren und Forderungsklage die Wahl habe oder nicht. Der Arrest ist aber nach Art. 278 Abs. 4 SchKG deshalb dahingefallen, weil das Bezirksgericht mit Vorentscheid vom 3. Juni 1955, der in Rechtskraft erwachsen ist, auf die Forderungsklage nicht eingetreten ist und weil die hängig gebliebene Klage auf Feststellung neuen Vermögens nicht genügt, um den Arrest aufrecht zu erhalten. Von endgültiger Abweisung der Klage, wie Art. 278 Abs. 4 SchKG sie voraussetzt, könnte freilich nicht gesprochen werden, wenn die Gläubigerin die im Nichteintretensentscheid festgestellten formellen Mängel ihrer Klage noch beheben könnte und die Rechtshängigkeit bei Benützung dieser Gelegenheit ununterbrochen fortbestünde (vgl. BGE 75 III 73 ff.). So verhält es sich aber nicht. Im Entscheid vom 3. Juni 1955 ist klar festgestellt, dass es nach kantonalem Prozessrecht unzulässig war, mit der Klage auf Feststellung neuen Vermögens, die bei der zuständigen Gerichtsinstanz als Klage in dem dafür massgebenden beschleunigten Verfahren eingereicht worden war, die in einem andern Verfahren zu behandelnde Forderungsklage zu verbinden, und dass dem Eventualantrag der Gläubigerin auf Abtrennung der Forderungsklage BGE 81 III 153 S. 158 nicht entsprochen werden konnte, weil das Gericht auf diese Klage von vornherein nicht eintreten durfte. Daraus ergibt sich, dass die formellen Mängel, die der am 3. Juni 1955 zurückgewiesenen Forderungsklage anhaften, nicht behebbar sind. Diese Klage muss somit im Sinne von Art. 278 Abs. 4 SchKG als endgültig abgewiesen gelten. Der Hinfall des Arrestes ist von den Betreibungsbehörden festzustellen ( BGE 66 III 59 ). Dispositiv Demnach erkennt die Schuldbetr.- u. Konkurskammer: In Gutheissung des Rekurses wird der angefochtene Entscheid aufgehoben und der Arrest Nr. 3 des Betreibungsamtes St. Gallen als dahingefallen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