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147</w:t>
      </w:r>
    </w:p>
    <w:p>
      <w:r>
        <w:t>Bundesgericht (BGE), 1955-09-24, DE</w:t>
      </w:r>
    </w:p>
    <w:p>
      <w:r>
        <w:rPr>
          <w:b/>
        </w:rPr>
        <w:t xml:space="preserve">Quelle: </w:t>
      </w:r>
      <w:r>
        <w:t>https://mcp.opencaselaw.ch/entscheid/bge_BGE_81_III_147</w:t>
      </w:r>
    </w:p>
    <w:p>
      <w:r>
        <w:t>FR: ATF 81 III 147</w:t>
      </w:r>
    </w:p>
    <w:p>
      <w:r>
        <w:t>IT: DTF 81 III 147</w:t>
      </w:r>
    </w:p>
    <w:p>
      <w:pPr>
        <w:pStyle w:val="Heading2"/>
      </w:pPr>
      <w:r>
        <w:t>Regeste</w:t>
      </w:r>
    </w:p>
    <w:p>
      <w:r>
        <w:t>Regeste Voraussetzungen und Wirkungen der Pfändung eines bestrittenen Lohnguthabens. Art. 93 SchKG.</w:t>
      </w:r>
    </w:p>
    <w:p>
      <w:r>
        <w:t>Regeste Conditions et effets de la saisie d'un salaire contesté. Art. 93 LP.</w:t>
      </w:r>
    </w:p>
    <w:p>
      <w:r>
        <w:t>Regesto Condizioni ed effetti del pignoramento di un salario contestato. Art. 93 LEF.</w:t>
      </w:r>
    </w:p>
    <w:p>
      <w:pPr>
        <w:pStyle w:val="Heading2"/>
      </w:pPr>
      <w:r>
        <w:t>Volltext</w:t>
      </w:r>
    </w:p>
    <w:p>
      <w:r>
        <w:t>Bundesgericht (BGE) Band III 1955 BGE 81 III 147 Tribunal fédéral (ATF) Volume III 1955 BGE 81 III 147 Tribunale federale (DTF) Volume III 1955 BGE 81 III 147</w:t>
      </w:r>
    </w:p>
    <w:p>
      <w:r>
        <w:t>Regeste Voraussetzungen und Wirkungen der Pfändung eines bestrittenen Lohnguthabens. Art. 93 SchKG. Regeste Conditions et effets de la saisie d'un salaire contesté. Art. 93 LP. Regesto Condizioni ed effetti del pignoramento di un salario contestato. Art. 93 LEF.</w:t>
      </w:r>
    </w:p>
    <w:p>
      <w:r>
        <w:t>Urteilskopf 81 III 147 41. Entscheid vom 24. September 1955 i.S. Bühler. Regeste Voraussetzungen und Wirkungen der Pfändung eines bestrittenen Lohnguthabens. Art. 93 SchKG . Sachverhalt ab Seite 147 BGE 81 III 147 S. 147 A.- Willy Bühler ist Angestellter der Kommanditgesellschaft Bühler-Meyer &amp; Co., deren unbeschränkt haftende Teilhaberin seine Ehefrau ist. In der von Emil Blum gegen ihn angehobenen Betreibung ergab sich beim Pfändungsvollzug vom 9. Juni 1955 kein pfändbares Vermögen. Über das Lohneinkommen befragt, gaben der Schuldner und dessen Ehefrau einen gemeinsamen monatlichen Lohnbezug von Fr. 700.-- aus der Geschäftskasse an. Das Betreibungsamt fand aber, diese Angabe sei nicht zuverlässig, und betrachtete den Lohnanspruch des Schuldners als nicht feststellbar. Demgemäss erliess es eine Anzeige an den Gläubiger mittels des Formulars Nr. 11, bemass dabei das Existenzminimum des Schuldners und seiner Familie (mit zwei minderjährigen Kindern) auf monatlich Fr. 630.-- und setzte dem Gläubiger Frist zur Abgabe einer Erklärung, ob und eventuell mit welchem Betrag der Verdienst des Schuldners dieses Existenzminimum übersteige. Der Gläubiger bezifferte hierauf den mutmasslichen Monatsverdienst des Schuldners auf mindestens Fr. 1000.--; dessen Lohneinkommen übersteige bei Berücksichtigung der Beitragspflicht der Ehefrau das Existenzminimum sicher um Fr. 500.--. Gestützt auf diese Angaben pfändete das Betreibungsamt, mit Wirkung BGE 81 III 147 S. 148 vom 1. Juli 1955 an, den das Existenzminimum von Fr. 630.-- übersteigenden Einkommensbetrag von monatlich Fr. 500.-- auf längstens ein Jahr bis zur Deckung der in Betreibung stehenden Forderung mit Zins und Kosten. B.- Über diese Pfändung beschwerte sich der Schuldner mit dem Antrag, sie sei auf monatlich Fr. 35.- herabzusetzen. Er liess nicht gelten, dass sein Lohneinkommen unbestimmbar sei. Vielmehr sei durch die Buchhaltung ausgewiesen, dass beide Ehegatten miteinander Fr. 700.-- beziehen. Davon entfalle die Hälfte = Fr. 350.-- auf ihn; ebenso sei das Existenzminimum zu verteilen, sodass er die Hälfte von Fr. 630.-- = Fr. 315.-- zu decken habe. Somit seien monatlich Fr. 35.- pfändbar, was er anerkenne, mehr aber nicht. Nach eingehender Prüfung der Sache bemass indessen die kantonale Aufsichtsbehörde das Existenzminimum des Schuldners und seiner Familie auf monatlich Fr. 544.-- und hielt im übrigen einen Jahresverdienst des Schuldners von mindestens Fr. 12'000.-- für wahrscheinlich. Da sich immerhin das Lohneinkommen "angesichts der mangelhaften und undurchsichtigen Buchaufschriebe der Arbeitgeberfirma" nicht zuverlässig bestimmen lasse, erklärte die Aufsichtsbehörde mit Entscheid vom 29. August 1955 vom Lohne des Schuldners monatlich Fr. 35.- endgültig und den vom Gläubiger behaupteten Mehrbetrag von Fr. 465.-- über das Existenzminimum von Fr. 544.-- hinaus als bestrittene Forderung pfändbar. C.- Gegen diesen Entscheid rekurriert der Schuldner mit dem Antrag, er sei aufzuheben, und jede den Betrag von Fr. 35.- im Monat übersteigende Lohnpfändung sei als ungesetzlich zu erklären. Erwägungen Die Schuldbetreibungs- und Konkurskammer zieht in Erwägung: Ohne die Bemessung des Existenzminimums durch die Vorinstanz zu beanstanden, widersetzt sich der Rekurrent nach wie vor einer weitergehenden Lohnpfändung, als wie BGE 81 III 147 S. 149 er sie, im Betrage von Fr. 35.- monatlich, als begründet anerkennt. Er weist neuerdings auf die Geschäftsbuchhaltung der Arbeitgeberfirma hin und will den Verdacht weiterer Lohnbezüge nicht gelten lassen. Indessen erscheint die angefochtene Entscheidung als rechtmässig, die einen grösseren Arbeitsverdienst des Schuldners nicht etwa verbindlich feststellt, sondern lediglich ein dahingehendes Guthaben als bestrittenes der Pfändung und allfälligen Verwertung unterstellt. Im allgemeinen ist eine bestrittene Forderung zu pfänden, wenn der Gläubiger deren Existenz auch nur behauptet (vgl. neuestens BGE 81 III 17 ff.). Für die Lohnpfändung gilt insofern etwas Abweichendes, als den Betreibungsbehörden obliegt, nicht nur die für die Festsetzung des Existenzminimums des Schuldners und seiner Familie bedeutungsvollen Tatsachen, sondern auch die übrigen zur Anwendung von Art. 93 SchKG wesentlichen Verhältnisse von Amtes wegen abzuklären, namentlich die wahren Lohneinkünfte des Schuldners ( BGE 54 III 236 ). Kann die Höhe des Arbeitsverdienstes des Schuldners vom Betreibungsamt und im Beschwerdeverfahren von den Aufsichtsbehörden einwandfrei festgestellt werden, so ist über die Lohnpfändung auf dieser tatbeständlichen Grundlage zu verfügen. In einem solchen Falle ist eine weitere Lohnpfändung abzulehnen, auch wenn sie der Gläubiger, aber eben auf Grund als haltlos erwiesener Behauptungen, verlangt. Bleibt aber das Ergebnis der Untersuchung ungewiss, und bestehen ernstliche Anhaltspunkte für den vom Gläubiger behaupteten Mehrverdienst des Schuldners, so ist ein entsprechendes (das Existenzminimum übersteigendes) Lohnguthaben als bestrittenes zu pfänden, sei es für sich allein oder (wie es die Vorinstanz angeordnet hat) neben einem unbestrittenen. Dadurch wird der Schuldner keineswegs in seinem Existenzminimum beeinträchtigt; denn die Pfändung einer bestrittenen Lohnforderung ist dem Arbeitgeber eindeutig als Pfändung eines allfälligen Mehrbetrages über das dabei zu beziffernde Existenzminimum BGE 81 III 147 S. 150 (und über den etwa, wie hier, fest gepfändeten Lohnbetrag) anzuzeigen. Nun bestehen nach dem Ergebnis der eingehenden Untersuchung der Verhältnisse durch die Vorinstanz in der Tat Anhaltspunkte dafür, dass der Schuldner nicht bloss die von ihm angegebenen Fr. 350.-- im Monat (neben Spesenersatz, der für eine Lohnpfändung nicht in Betracht fällt) bezieht. Selbst wenn jener Betrag in einem Anstellungsvertrag vereinbart wäre, hätte sich übrigens danach nur die feste Lohnpfändung zu bestimmen (unter Berücksichtigung einer allfälligen Beitragspflicht der Ehefrau); das würde die Pfändung eines bestrittenen Mehrverdienstes nicht ausschliessen ( BGE 63 III 105 ff. Erw. 1), wenigstens dann nicht, wenn, wie oben ausgeführt, mit solchen Mehrbezügen ernstlich zu rechnen ist. Das trifft hier zu, weshalb das Betreibungsamt mit Recht vom Gläubiger eine Angabe über den von ihm vermuteten pfändbaren Lohnbetrag bei einem (vorläufig) auf Fr. 630.-- im Monat bemessenen Existenzminimum verlangt hat, mittels des Formulars Nr. 11 (vgl. BGE 65 III 70 , BGE 74 III 7 ). Auch nach Durchführung verschiedener Massnahmen zur nähern Abklärung der Verhältnisse durch die Vorinstanz sind erhebliche Zweifel über den wahren Arbeitsverdienst des Schuldners begründet. Es fehlt an einer schriftlichen Festsetzung seines Lohnes und steht nicht einmal fest, wieviel von den für ihn und die Ehefrau gemeinsam gebuchten Lohnbezügen jeweilen auf ihn entfällt. Abgesehen davon ist mit weitern Lohnbezügen des Schuldners zu rechnen, da der angegebene Betrag doch nicht wohl seiner Arbeitsleistung entsprechen kann und ein anderer Angestellter, wie die Vorinstanz feststellt, viel mehr als jenen Betrag bezieht. Das sind genügende Anhaltspunkte, um eine Pfändung bestrittenen Lohnes zu rechtfertigen. Ausgeschlossen werden derartige Mehrbezüge durch die Geschäftsbuchhaltung nicht einwandfrei. Nach den vorinstanzlichen Erhebungen können sie vielmehr in verschiedenen andern Posten der Buchhaltung BGE 81 III 147 S. 151 verborgen sein. Selbst wenn übrigens der Schuldner nur die von ihm angegebenen Lohnbeträge beziehen sollte, d.h. sich ausbezahlen liesse, würde sich noch die Frage erheben, ob nicht seine Lohnansprüche dennoch höher wären (vgl. JAEGER-DAENIKER, Schuldbetreibungs- und Konkurs-Praxis I S. 189 Abs. 3 mit Zitaten). Darüber zu entscheiden, muss dem Richter vorbehalten bleiben, den der Erwerber der bestrittenen Lohnforderung allenfalls anrufen wird.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